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before="11"/>
        <w:rPr>
          <w:rFonts w:cs="仿宋" w:asciiTheme="minorEastAsia" w:hAnsiTheme="minorEastAsia"/>
          <w:sz w:val="38"/>
          <w:szCs w:val="38"/>
        </w:rPr>
      </w:pPr>
    </w:p>
    <w:p>
      <w:pPr>
        <w:pStyle w:val="13"/>
        <w:ind w:left="597"/>
        <w:jc w:val="center"/>
        <w:rPr>
          <w:rFonts w:asciiTheme="minorEastAsia" w:hAnsiTheme="minorEastAsia" w:eastAsiaTheme="minorEastAsia"/>
          <w:b/>
          <w:lang w:eastAsia="zh-CN"/>
        </w:rPr>
      </w:pPr>
      <w:bookmarkStart w:id="0" w:name="中国检验检疫学会标准《XXXX》编制说明"/>
      <w:bookmarkEnd w:id="0"/>
      <w:r>
        <w:rPr>
          <w:rFonts w:hint="eastAsia" w:asciiTheme="minorEastAsia" w:hAnsiTheme="minorEastAsia" w:eastAsiaTheme="minorEastAsia"/>
          <w:b/>
          <w:lang w:eastAsia="zh-CN"/>
        </w:rPr>
        <w:t>*************</w:t>
      </w:r>
    </w:p>
    <w:p>
      <w:pPr>
        <w:pStyle w:val="13"/>
        <w:ind w:left="597"/>
        <w:jc w:val="center"/>
        <w:rPr>
          <w:rFonts w:asciiTheme="minorEastAsia" w:hAnsiTheme="minorEastAsia" w:eastAsiaTheme="minorEastAsia"/>
          <w:b/>
          <w:lang w:eastAsia="zh-CN"/>
        </w:rPr>
      </w:pPr>
      <w:r>
        <w:rPr>
          <w:rFonts w:asciiTheme="minorEastAsia" w:hAnsiTheme="minorEastAsia" w:eastAsiaTheme="minorEastAsia"/>
          <w:b/>
          <w:lang w:eastAsia="zh-CN"/>
        </w:rPr>
        <w:t>《</w:t>
      </w:r>
      <w:r>
        <w:rPr>
          <w:rFonts w:hint="eastAsia" w:asciiTheme="minorEastAsia" w:hAnsiTheme="minorEastAsia" w:eastAsiaTheme="minorEastAsia"/>
          <w:b/>
          <w:lang w:eastAsia="zh-CN"/>
        </w:rPr>
        <w:t>社区零售平台食品安全管理规范</w:t>
      </w:r>
      <w:r>
        <w:rPr>
          <w:rFonts w:asciiTheme="minorEastAsia" w:hAnsiTheme="minorEastAsia" w:eastAsiaTheme="minorEastAsia"/>
          <w:b/>
          <w:lang w:eastAsia="zh-CN"/>
        </w:rPr>
        <w:t>》</w:t>
      </w:r>
    </w:p>
    <w:p>
      <w:pPr>
        <w:pStyle w:val="13"/>
        <w:ind w:left="597"/>
        <w:jc w:val="center"/>
        <w:outlineLvl w:val="9"/>
        <w:rPr>
          <w:rFonts w:asciiTheme="minorEastAsia" w:hAnsiTheme="minorEastAsia" w:eastAsiaTheme="minorEastAsia"/>
          <w:sz w:val="36"/>
          <w:lang w:eastAsia="zh-CN"/>
        </w:rPr>
      </w:pPr>
      <w:r>
        <w:rPr>
          <w:rFonts w:hint="eastAsia" w:asciiTheme="minorEastAsia" w:hAnsiTheme="minorEastAsia" w:eastAsiaTheme="minorEastAsia"/>
          <w:sz w:val="36"/>
          <w:lang w:eastAsia="zh-CN"/>
        </w:rPr>
        <w:t>(征求意见稿)</w:t>
      </w:r>
    </w:p>
    <w:p>
      <w:pPr>
        <w:pStyle w:val="13"/>
        <w:ind w:left="597"/>
        <w:jc w:val="center"/>
        <w:outlineLvl w:val="9"/>
        <w:rPr>
          <w:rFonts w:asciiTheme="minorEastAsia" w:hAnsiTheme="minorEastAsia" w:eastAsiaTheme="minorEastAsia"/>
          <w:b/>
          <w:lang w:eastAsia="zh-CN"/>
        </w:rPr>
      </w:pPr>
    </w:p>
    <w:p>
      <w:pPr>
        <w:pStyle w:val="13"/>
        <w:ind w:left="597"/>
        <w:jc w:val="center"/>
        <w:outlineLvl w:val="9"/>
        <w:rPr>
          <w:rFonts w:asciiTheme="minorEastAsia" w:hAnsiTheme="minorEastAsia" w:eastAsiaTheme="minorEastAsia"/>
          <w:b/>
          <w:lang w:eastAsia="zh-CN"/>
        </w:rPr>
      </w:pPr>
    </w:p>
    <w:p>
      <w:pPr>
        <w:pStyle w:val="13"/>
        <w:outlineLvl w:val="9"/>
        <w:rPr>
          <w:rFonts w:asciiTheme="minorEastAsia" w:hAnsiTheme="minorEastAsia" w:eastAsiaTheme="minorEastAsia"/>
          <w:b/>
          <w:lang w:eastAsia="zh-CN"/>
        </w:rPr>
      </w:pPr>
    </w:p>
    <w:p>
      <w:pPr>
        <w:pStyle w:val="13"/>
        <w:ind w:left="597"/>
        <w:jc w:val="center"/>
        <w:outlineLvl w:val="9"/>
        <w:rPr>
          <w:rFonts w:asciiTheme="minorEastAsia" w:hAnsiTheme="minorEastAsia" w:eastAsiaTheme="minorEastAsia"/>
          <w:b/>
          <w:lang w:eastAsia="zh-CN"/>
        </w:rPr>
      </w:pPr>
    </w:p>
    <w:p>
      <w:pPr>
        <w:pStyle w:val="13"/>
        <w:ind w:left="597"/>
        <w:jc w:val="center"/>
        <w:outlineLvl w:val="9"/>
        <w:rPr>
          <w:rFonts w:asciiTheme="minorEastAsia" w:hAnsiTheme="minorEastAsia" w:eastAsiaTheme="minorEastAsia"/>
          <w:b/>
          <w:sz w:val="52"/>
          <w:lang w:eastAsia="zh-CN"/>
        </w:rPr>
      </w:pPr>
      <w:r>
        <w:rPr>
          <w:rFonts w:asciiTheme="minorEastAsia" w:hAnsiTheme="minorEastAsia" w:eastAsiaTheme="minorEastAsia"/>
          <w:b/>
          <w:sz w:val="52"/>
          <w:lang w:eastAsia="zh-CN"/>
        </w:rPr>
        <w:t>编制说明</w:t>
      </w:r>
    </w:p>
    <w:p>
      <w:pPr>
        <w:rPr>
          <w:rFonts w:cs="PMingLiU" w:asciiTheme="minorEastAsia" w:hAnsiTheme="minorEastAsia"/>
          <w:sz w:val="41"/>
          <w:szCs w:val="41"/>
        </w:rPr>
      </w:pPr>
    </w:p>
    <w:p>
      <w:pPr>
        <w:rPr>
          <w:rFonts w:cs="PMingLiU" w:asciiTheme="minorEastAsia" w:hAnsiTheme="minorEastAsia"/>
          <w:sz w:val="41"/>
          <w:szCs w:val="41"/>
        </w:rPr>
      </w:pPr>
    </w:p>
    <w:p>
      <w:pPr>
        <w:rPr>
          <w:rFonts w:cs="PMingLiU" w:asciiTheme="minorEastAsia" w:hAnsiTheme="minorEastAsia"/>
          <w:sz w:val="41"/>
          <w:szCs w:val="41"/>
        </w:rPr>
      </w:pPr>
    </w:p>
    <w:p>
      <w:pPr>
        <w:spacing w:line="480" w:lineRule="exact"/>
        <w:ind w:right="840"/>
        <w:jc w:val="center"/>
        <w:rPr>
          <w:rFonts w:ascii="宋体" w:hAnsi="宋体" w:eastAsia="宋体" w:cs="Times New Roman"/>
          <w:b/>
          <w:sz w:val="24"/>
          <w:szCs w:val="24"/>
        </w:rPr>
      </w:pPr>
    </w:p>
    <w:p>
      <w:pPr>
        <w:spacing w:line="480" w:lineRule="exact"/>
        <w:ind w:right="840"/>
        <w:jc w:val="center"/>
        <w:rPr>
          <w:rFonts w:ascii="宋体" w:hAnsi="宋体" w:eastAsia="宋体" w:cs="Times New Roman"/>
          <w:b/>
          <w:sz w:val="24"/>
          <w:szCs w:val="24"/>
        </w:rPr>
      </w:pPr>
    </w:p>
    <w:p>
      <w:pPr>
        <w:spacing w:line="480" w:lineRule="exact"/>
        <w:ind w:right="840"/>
        <w:jc w:val="center"/>
        <w:rPr>
          <w:rFonts w:ascii="宋体" w:hAnsi="宋体" w:eastAsia="宋体" w:cs="Times New Roman"/>
          <w:b/>
          <w:sz w:val="24"/>
          <w:szCs w:val="24"/>
        </w:rPr>
      </w:pPr>
    </w:p>
    <w:p>
      <w:pPr>
        <w:spacing w:line="480" w:lineRule="exact"/>
        <w:ind w:right="840"/>
        <w:jc w:val="left"/>
        <w:rPr>
          <w:rFonts w:ascii="宋体" w:hAnsi="宋体" w:eastAsia="宋体" w:cs="Times New Roman"/>
          <w:b/>
          <w:sz w:val="24"/>
          <w:szCs w:val="24"/>
        </w:rPr>
      </w:pPr>
    </w:p>
    <w:p>
      <w:pPr>
        <w:spacing w:line="480" w:lineRule="exact"/>
        <w:ind w:right="840"/>
        <w:jc w:val="left"/>
        <w:rPr>
          <w:rFonts w:ascii="宋体" w:hAnsi="宋体" w:eastAsia="宋体" w:cs="Times New Roman"/>
          <w:b/>
          <w:sz w:val="24"/>
          <w:szCs w:val="24"/>
        </w:rPr>
      </w:pPr>
    </w:p>
    <w:p>
      <w:pPr>
        <w:spacing w:line="480" w:lineRule="exact"/>
        <w:ind w:right="840"/>
        <w:jc w:val="left"/>
        <w:rPr>
          <w:rFonts w:ascii="宋体" w:hAnsi="宋体" w:eastAsia="宋体" w:cs="Times New Roman"/>
          <w:b/>
          <w:sz w:val="24"/>
          <w:szCs w:val="24"/>
        </w:rPr>
      </w:pPr>
    </w:p>
    <w:p>
      <w:pPr>
        <w:spacing w:line="480" w:lineRule="exact"/>
        <w:ind w:right="840"/>
        <w:jc w:val="left"/>
        <w:rPr>
          <w:rFonts w:ascii="宋体" w:hAnsi="宋体" w:eastAsia="宋体" w:cs="Times New Roman"/>
          <w:b/>
          <w:sz w:val="24"/>
          <w:szCs w:val="24"/>
        </w:rPr>
      </w:pPr>
    </w:p>
    <w:p>
      <w:pPr>
        <w:spacing w:line="480" w:lineRule="exact"/>
        <w:ind w:right="840"/>
        <w:jc w:val="left"/>
        <w:rPr>
          <w:rFonts w:ascii="宋体" w:hAnsi="宋体" w:eastAsia="宋体" w:cs="Times New Roman"/>
          <w:b/>
          <w:sz w:val="24"/>
          <w:szCs w:val="24"/>
        </w:rPr>
      </w:pPr>
    </w:p>
    <w:p>
      <w:pPr>
        <w:spacing w:line="480" w:lineRule="exact"/>
        <w:ind w:right="840"/>
        <w:jc w:val="left"/>
        <w:rPr>
          <w:rFonts w:ascii="宋体" w:hAnsi="宋体" w:eastAsia="宋体" w:cs="Times New Roman"/>
          <w:b/>
          <w:sz w:val="24"/>
          <w:szCs w:val="24"/>
        </w:rPr>
      </w:pPr>
    </w:p>
    <w:p>
      <w:pPr>
        <w:spacing w:line="480" w:lineRule="exact"/>
        <w:ind w:right="840"/>
        <w:jc w:val="center"/>
        <w:rPr>
          <w:rFonts w:ascii="宋体" w:hAnsi="宋体" w:eastAsia="宋体" w:cs="Times New Roman"/>
          <w:b/>
          <w:sz w:val="24"/>
          <w:szCs w:val="24"/>
        </w:rPr>
      </w:pPr>
      <w:r>
        <w:rPr>
          <w:rFonts w:hint="eastAsia" w:ascii="宋体" w:hAnsi="宋体" w:eastAsia="宋体" w:cs="Times New Roman"/>
          <w:b/>
          <w:sz w:val="24"/>
          <w:szCs w:val="24"/>
        </w:rPr>
        <w:t xml:space="preserve">      起草工作组</w:t>
      </w:r>
    </w:p>
    <w:p>
      <w:pPr>
        <w:jc w:val="center"/>
        <w:rPr>
          <w:rFonts w:ascii="宋体" w:hAnsi="宋体" w:eastAsia="宋体" w:cs="PMingLiU"/>
          <w:sz w:val="41"/>
          <w:szCs w:val="41"/>
        </w:rPr>
      </w:pPr>
      <w:r>
        <w:rPr>
          <w:rFonts w:hint="eastAsia" w:ascii="宋体" w:hAnsi="宋体" w:eastAsia="宋体" w:cs="Times New Roman"/>
          <w:b/>
          <w:sz w:val="24"/>
          <w:szCs w:val="24"/>
        </w:rPr>
        <w:t>2021年</w:t>
      </w:r>
      <w:r>
        <w:rPr>
          <w:rFonts w:hint="eastAsia" w:ascii="宋体" w:hAnsi="宋体" w:eastAsia="宋体" w:cs="Times New Roman"/>
          <w:b/>
          <w:sz w:val="24"/>
          <w:szCs w:val="24"/>
          <w:lang w:val="en-US" w:eastAsia="zh-CN"/>
        </w:rPr>
        <w:t>5</w:t>
      </w:r>
      <w:r>
        <w:rPr>
          <w:rFonts w:hint="eastAsia" w:ascii="宋体" w:hAnsi="宋体" w:eastAsia="宋体" w:cs="Times New Roman"/>
          <w:b/>
          <w:sz w:val="24"/>
          <w:szCs w:val="24"/>
        </w:rPr>
        <w:t>月</w:t>
      </w:r>
    </w:p>
    <w:p>
      <w:pPr>
        <w:rPr>
          <w:rFonts w:cs="PMingLiU" w:asciiTheme="minorEastAsia" w:hAnsiTheme="minorEastAsia"/>
          <w:sz w:val="41"/>
          <w:szCs w:val="41"/>
        </w:rPr>
      </w:pPr>
    </w:p>
    <w:p>
      <w:pPr>
        <w:pStyle w:val="13"/>
        <w:ind w:left="595"/>
        <w:jc w:val="center"/>
        <w:outlineLvl w:val="9"/>
        <w:rPr>
          <w:rFonts w:asciiTheme="minorEastAsia" w:hAnsiTheme="minorEastAsia" w:eastAsiaTheme="minorEastAsia"/>
          <w:b/>
          <w:sz w:val="36"/>
          <w:lang w:eastAsia="zh-CN"/>
        </w:rPr>
      </w:pPr>
      <w:r>
        <w:rPr>
          <w:rFonts w:asciiTheme="minorEastAsia" w:hAnsiTheme="minorEastAsia" w:eastAsiaTheme="minorEastAsia"/>
          <w:b/>
          <w:sz w:val="36"/>
          <w:lang w:eastAsia="zh-CN"/>
        </w:rPr>
        <w:t>《</w:t>
      </w:r>
      <w:r>
        <w:rPr>
          <w:rFonts w:hint="eastAsia" w:asciiTheme="minorEastAsia" w:hAnsiTheme="minorEastAsia" w:eastAsiaTheme="minorEastAsia"/>
          <w:b/>
          <w:sz w:val="36"/>
          <w:lang w:eastAsia="zh-CN"/>
        </w:rPr>
        <w:t>社区零售平台食品安全管理规范</w:t>
      </w:r>
      <w:r>
        <w:rPr>
          <w:rFonts w:asciiTheme="minorEastAsia" w:hAnsiTheme="minorEastAsia" w:eastAsiaTheme="minorEastAsia"/>
          <w:b/>
          <w:sz w:val="36"/>
          <w:lang w:eastAsia="zh-CN"/>
        </w:rPr>
        <w:t>》</w:t>
      </w:r>
    </w:p>
    <w:p>
      <w:pPr>
        <w:pStyle w:val="13"/>
        <w:ind w:left="597"/>
        <w:jc w:val="center"/>
        <w:rPr>
          <w:rFonts w:asciiTheme="minorEastAsia" w:hAnsiTheme="minorEastAsia" w:eastAsiaTheme="minorEastAsia"/>
          <w:b/>
          <w:sz w:val="36"/>
          <w:lang w:eastAsia="zh-CN"/>
        </w:rPr>
      </w:pPr>
      <w:r>
        <w:rPr>
          <w:rFonts w:hint="eastAsia" w:asciiTheme="minorEastAsia" w:hAnsiTheme="minorEastAsia" w:eastAsiaTheme="minorEastAsia"/>
          <w:b/>
          <w:sz w:val="36"/>
          <w:lang w:eastAsia="zh-CN"/>
        </w:rPr>
        <w:t>编制说明</w:t>
      </w:r>
    </w:p>
    <w:p>
      <w:pPr>
        <w:spacing w:before="156" w:beforeLines="50" w:after="156" w:afterLines="50"/>
        <w:outlineLvl w:val="0"/>
        <w:rPr>
          <w:rFonts w:ascii="宋体" w:hAnsi="宋体" w:eastAsia="宋体" w:cs="Times New Roman"/>
          <w:b/>
          <w:sz w:val="24"/>
          <w:szCs w:val="24"/>
        </w:rPr>
      </w:pPr>
      <w:r>
        <w:rPr>
          <w:rFonts w:ascii="宋体" w:hAnsi="宋体" w:eastAsia="宋体" w:cs="Times New Roman"/>
          <w:b/>
          <w:sz w:val="24"/>
          <w:szCs w:val="24"/>
        </w:rPr>
        <w:t>一、工作简况</w:t>
      </w:r>
    </w:p>
    <w:p>
      <w:pPr>
        <w:spacing w:line="480" w:lineRule="exact"/>
        <w:rPr>
          <w:rFonts w:ascii="宋体" w:hAnsi="宋体" w:eastAsia="宋体" w:cs="Times New Roman"/>
          <w:b/>
          <w:sz w:val="24"/>
          <w:szCs w:val="24"/>
        </w:rPr>
      </w:pPr>
      <w:r>
        <w:rPr>
          <w:rFonts w:ascii="宋体" w:hAnsi="宋体" w:eastAsia="宋体" w:cs="Times New Roman"/>
          <w:b/>
          <w:sz w:val="24"/>
          <w:szCs w:val="24"/>
        </w:rPr>
        <w:t>1、任务来源</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社区零售”电商模式在2020年异军突起，多家互联网电商企业入局，并在全国范围内迅速开城。2020年6月，滴滴打造的社区零售品牌“橙心优选”上线；2020年7月7日，美团宣布成立“优选事业部”，进军社区零售赛道；2020年8月，拼多多旗下社区零售项目“多多买菜”上线；2020年9月，阿里宣布成立盒马优选事业部，布局社区零售；2021年1月1日，京东旗下社区零售平台“京喜拼拼”已全面上线，正式进军社区零售。据天眼查数据显示，截至到2020年末，我国有300多家涉及社区零售相关业务的企业。</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作为一种基于平台商家、城市中心仓、城市网格站、社区团长、消费者的食品供应链流转模式下的新兴业态，社区零售平台销售食品覆盖了各种蔬菜水果、肉禽蛋、海鲜水产等食用农产品、米面粮油、休闲食品、调味酱料、方便食品等预包装食品，而不同种类食品的商品许可资质、产品特性、储藏方式和保质期均存在较大差异，若要达到规范平台商家和利益相关方的食品安全管理，保障到货食品的质量安全和货源可追溯，建立完善的售后保障机制的目的，需要社区零售平台在各环节充分评估存在的食品安全风险隐患，采取正确而有效的预防性控制措施来避免和消除这些风险隐患。</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目前各社区零售平台均在搭建和运转各自的食品安全管理体系，但实际能力有强有弱、管理标准有高有低。尤其在社区团长和网格站新节点的食品安全管理缺乏行业最佳实践的积累，通过制定社区零售链路下的食品安全管理团体标准，从而指导社区零售平台和平台各利益相关方的食品安全管理，使社区零售业务朝着标准化、规范化的方向发展具有重大意义 </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中国消费品质量安全促进会</w:t>
      </w:r>
      <w:r>
        <w:rPr>
          <w:rFonts w:asciiTheme="minorEastAsia" w:hAnsiTheme="minorEastAsia"/>
          <w:sz w:val="24"/>
          <w:szCs w:val="24"/>
        </w:rPr>
        <w:t>于2021年</w:t>
      </w:r>
      <w:r>
        <w:rPr>
          <w:rFonts w:hint="eastAsia" w:asciiTheme="minorEastAsia" w:hAnsiTheme="minorEastAsia"/>
          <w:sz w:val="24"/>
          <w:szCs w:val="24"/>
        </w:rPr>
        <w:t>2</w:t>
      </w:r>
      <w:r>
        <w:rPr>
          <w:rFonts w:asciiTheme="minorEastAsia" w:hAnsiTheme="minorEastAsia"/>
          <w:sz w:val="24"/>
          <w:szCs w:val="24"/>
        </w:rPr>
        <w:t>月份批准该项目立项，并将</w:t>
      </w:r>
      <w:r>
        <w:rPr>
          <w:rFonts w:hint="eastAsia" w:asciiTheme="minorEastAsia" w:hAnsiTheme="minorEastAsia"/>
          <w:sz w:val="24"/>
          <w:szCs w:val="24"/>
        </w:rPr>
        <w:t>《社区零售平台食品安全管理规范》</w:t>
      </w:r>
      <w:r>
        <w:rPr>
          <w:rFonts w:asciiTheme="minorEastAsia" w:hAnsiTheme="minorEastAsia"/>
          <w:sz w:val="24"/>
          <w:szCs w:val="24"/>
        </w:rPr>
        <w:t>团体标准制定列入2021年计划。</w:t>
      </w:r>
    </w:p>
    <w:p>
      <w:pPr>
        <w:spacing w:line="480" w:lineRule="exact"/>
        <w:ind w:firstLine="480" w:firstLineChars="200"/>
        <w:rPr>
          <w:rFonts w:asciiTheme="minorEastAsia" w:hAnsiTheme="minorEastAsia"/>
          <w:sz w:val="24"/>
          <w:szCs w:val="24"/>
        </w:rPr>
      </w:pPr>
    </w:p>
    <w:p>
      <w:pPr>
        <w:spacing w:line="480" w:lineRule="exact"/>
        <w:rPr>
          <w:rFonts w:ascii="宋体" w:hAnsi="宋体" w:eastAsia="宋体" w:cs="Times New Roman"/>
          <w:b/>
          <w:sz w:val="24"/>
          <w:szCs w:val="24"/>
        </w:rPr>
      </w:pPr>
      <w:r>
        <w:rPr>
          <w:rFonts w:hint="eastAsia" w:ascii="宋体" w:hAnsi="宋体" w:eastAsia="宋体" w:cs="Times New Roman"/>
          <w:b/>
          <w:sz w:val="24"/>
          <w:szCs w:val="24"/>
        </w:rPr>
        <w:t>2</w:t>
      </w:r>
      <w:r>
        <w:rPr>
          <w:rFonts w:ascii="宋体" w:hAnsi="宋体" w:eastAsia="宋体" w:cs="Times New Roman"/>
          <w:b/>
          <w:sz w:val="24"/>
          <w:szCs w:val="24"/>
        </w:rPr>
        <w:t>、</w:t>
      </w:r>
      <w:r>
        <w:rPr>
          <w:rFonts w:hint="eastAsia" w:ascii="宋体" w:hAnsi="宋体" w:eastAsia="宋体" w:cs="Times New Roman"/>
          <w:b/>
          <w:sz w:val="24"/>
          <w:szCs w:val="24"/>
        </w:rPr>
        <w:t>协作单位</w:t>
      </w:r>
    </w:p>
    <w:p>
      <w:pPr>
        <w:spacing w:line="480" w:lineRule="exact"/>
        <w:ind w:firstLine="480"/>
        <w:jc w:val="left"/>
        <w:rPr>
          <w:rFonts w:ascii="宋体" w:hAnsi="宋体" w:eastAsia="宋体" w:cs="Times New Roman"/>
          <w:sz w:val="24"/>
          <w:szCs w:val="24"/>
        </w:rPr>
      </w:pPr>
      <w:r>
        <w:rPr>
          <w:rFonts w:ascii="宋体" w:hAnsi="宋体" w:eastAsia="宋体" w:cs="Times New Roman"/>
          <w:sz w:val="24"/>
          <w:szCs w:val="24"/>
        </w:rPr>
        <w:t>根据以上情况</w:t>
      </w:r>
      <w:r>
        <w:rPr>
          <w:rFonts w:hint="eastAsia" w:ascii="宋体" w:hAnsi="宋体" w:eastAsia="宋体" w:cs="Times New Roman"/>
          <w:sz w:val="24"/>
          <w:szCs w:val="24"/>
        </w:rPr>
        <w:t>，北京嘀嘀无限科技发展有限公司、橙心优选（北京）科技发展有限公司、阿里巴巴集团控股有限公司、上海寻梦信息技术有限公司、中粮我买网投资有限公司、内蒙古蒙牛乳业（集团）股份有限公司、通标标准技术服务有限公司等单位向中国消费品质量安全促进会消费类电器工作委员会（以下简称：促进会）提出了本标准立项。</w:t>
      </w:r>
    </w:p>
    <w:p>
      <w:pPr>
        <w:spacing w:line="480" w:lineRule="exact"/>
        <w:rPr>
          <w:rFonts w:ascii="宋体" w:hAnsi="宋体" w:eastAsia="宋体" w:cs="Times New Roman"/>
          <w:b/>
          <w:sz w:val="24"/>
          <w:szCs w:val="24"/>
        </w:rPr>
      </w:pPr>
      <w:r>
        <w:rPr>
          <w:rFonts w:hint="eastAsia" w:ascii="宋体" w:hAnsi="宋体" w:eastAsia="宋体" w:cs="Times New Roman"/>
          <w:b/>
          <w:sz w:val="24"/>
          <w:szCs w:val="24"/>
        </w:rPr>
        <w:t>3</w:t>
      </w:r>
      <w:r>
        <w:rPr>
          <w:rFonts w:ascii="宋体" w:hAnsi="宋体" w:eastAsia="宋体" w:cs="Times New Roman"/>
          <w:b/>
          <w:sz w:val="24"/>
          <w:szCs w:val="24"/>
        </w:rPr>
        <w:t>、工作过程</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自</w:t>
      </w:r>
      <w:r>
        <w:rPr>
          <w:rFonts w:asciiTheme="minorEastAsia" w:hAnsiTheme="minorEastAsia"/>
          <w:sz w:val="24"/>
          <w:szCs w:val="24"/>
        </w:rPr>
        <w:t>2020年</w:t>
      </w:r>
      <w:r>
        <w:rPr>
          <w:rFonts w:hint="eastAsia" w:asciiTheme="minorEastAsia" w:hAnsiTheme="minorEastAsia"/>
          <w:sz w:val="24"/>
          <w:szCs w:val="24"/>
        </w:rPr>
        <w:t>2</w:t>
      </w:r>
      <w:r>
        <w:rPr>
          <w:rFonts w:asciiTheme="minorEastAsia" w:hAnsiTheme="minorEastAsia"/>
          <w:sz w:val="24"/>
          <w:szCs w:val="24"/>
        </w:rPr>
        <w:t>月份</w:t>
      </w:r>
      <w:r>
        <w:rPr>
          <w:rFonts w:hint="eastAsia" w:asciiTheme="minorEastAsia" w:hAnsiTheme="minorEastAsia"/>
          <w:sz w:val="24"/>
          <w:szCs w:val="24"/>
        </w:rPr>
        <w:t>起</w:t>
      </w:r>
      <w:r>
        <w:rPr>
          <w:rFonts w:asciiTheme="minorEastAsia" w:hAnsiTheme="minorEastAsia"/>
          <w:sz w:val="24"/>
          <w:szCs w:val="24"/>
        </w:rPr>
        <w:t>，标准</w:t>
      </w:r>
      <w:r>
        <w:rPr>
          <w:rFonts w:hint="eastAsia" w:asciiTheme="minorEastAsia" w:hAnsiTheme="minorEastAsia"/>
          <w:sz w:val="24"/>
          <w:szCs w:val="24"/>
        </w:rPr>
        <w:t>起草</w:t>
      </w:r>
      <w:r>
        <w:rPr>
          <w:rFonts w:asciiTheme="minorEastAsia" w:hAnsiTheme="minorEastAsia"/>
          <w:sz w:val="24"/>
          <w:szCs w:val="24"/>
        </w:rPr>
        <w:t>组</w:t>
      </w:r>
      <w:r>
        <w:rPr>
          <w:rFonts w:hint="eastAsia" w:asciiTheme="minorEastAsia" w:hAnsiTheme="minorEastAsia"/>
          <w:sz w:val="24"/>
          <w:szCs w:val="24"/>
        </w:rPr>
        <w:t>成员通过</w:t>
      </w:r>
      <w:r>
        <w:rPr>
          <w:rFonts w:asciiTheme="minorEastAsia" w:hAnsiTheme="minorEastAsia"/>
          <w:sz w:val="24"/>
          <w:szCs w:val="24"/>
        </w:rPr>
        <w:t>进行</w:t>
      </w:r>
      <w:r>
        <w:rPr>
          <w:rFonts w:hint="eastAsia" w:asciiTheme="minorEastAsia" w:hAnsiTheme="minorEastAsia"/>
          <w:sz w:val="24"/>
          <w:szCs w:val="24"/>
        </w:rPr>
        <w:t>广泛地行业</w:t>
      </w:r>
      <w:r>
        <w:rPr>
          <w:rFonts w:asciiTheme="minorEastAsia" w:hAnsiTheme="minorEastAsia"/>
          <w:sz w:val="24"/>
          <w:szCs w:val="24"/>
        </w:rPr>
        <w:t>调研，</w:t>
      </w:r>
      <w:r>
        <w:rPr>
          <w:rFonts w:hint="eastAsia" w:asciiTheme="minorEastAsia" w:hAnsiTheme="minorEastAsia"/>
          <w:sz w:val="24"/>
          <w:szCs w:val="24"/>
        </w:rPr>
        <w:t>掌握</w:t>
      </w:r>
      <w:r>
        <w:rPr>
          <w:rFonts w:asciiTheme="minorEastAsia" w:hAnsiTheme="minorEastAsia"/>
          <w:sz w:val="24"/>
          <w:szCs w:val="24"/>
        </w:rPr>
        <w:t>了目前国内</w:t>
      </w:r>
      <w:r>
        <w:rPr>
          <w:rFonts w:hint="eastAsia" w:asciiTheme="minorEastAsia" w:hAnsiTheme="minorEastAsia"/>
          <w:sz w:val="24"/>
          <w:szCs w:val="24"/>
        </w:rPr>
        <w:t>几大主要社区零售平台的食品安全管理现状</w:t>
      </w:r>
      <w:r>
        <w:rPr>
          <w:rFonts w:asciiTheme="minorEastAsia" w:hAnsiTheme="minorEastAsia"/>
          <w:sz w:val="24"/>
          <w:szCs w:val="24"/>
        </w:rPr>
        <w:t>，</w:t>
      </w:r>
      <w:r>
        <w:rPr>
          <w:rFonts w:hint="eastAsia" w:asciiTheme="minorEastAsia" w:hAnsiTheme="minorEastAsia"/>
          <w:sz w:val="24"/>
          <w:szCs w:val="24"/>
        </w:rPr>
        <w:t>归纳出包括商品和商家准入要求、食品信息展示要求、食品到货验收要求、仓储作业过程控制要求、配送作业过程控制要求、团长作业过程控制要求等环节的行业实践。基于对行业实践的总结梳理出社区零售的人员管理、基础设施管理、食品安全关键控制点的具体要求。</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t>标准</w:t>
      </w:r>
      <w:r>
        <w:rPr>
          <w:rFonts w:hint="eastAsia" w:asciiTheme="minorEastAsia" w:hAnsiTheme="minorEastAsia"/>
          <w:sz w:val="24"/>
          <w:szCs w:val="24"/>
        </w:rPr>
        <w:t>起草</w:t>
      </w:r>
      <w:r>
        <w:rPr>
          <w:rFonts w:asciiTheme="minorEastAsia" w:hAnsiTheme="minorEastAsia"/>
          <w:sz w:val="24"/>
          <w:szCs w:val="24"/>
        </w:rPr>
        <w:t>组</w:t>
      </w:r>
      <w:r>
        <w:rPr>
          <w:rFonts w:hint="eastAsia" w:asciiTheme="minorEastAsia" w:hAnsiTheme="minorEastAsia"/>
          <w:sz w:val="24"/>
          <w:szCs w:val="24"/>
        </w:rPr>
        <w:t>通过与</w:t>
      </w:r>
      <w:r>
        <w:rPr>
          <w:rFonts w:hint="eastAsia" w:ascii="宋体" w:hAnsi="宋体" w:eastAsia="宋体" w:cs="Times New Roman"/>
          <w:sz w:val="24"/>
          <w:szCs w:val="24"/>
        </w:rPr>
        <w:t>橙心优选（北京）科技发展有限公司</w:t>
      </w:r>
      <w:r>
        <w:rPr>
          <w:rFonts w:hint="eastAsia" w:asciiTheme="minorEastAsia" w:hAnsiTheme="minorEastAsia"/>
          <w:sz w:val="24"/>
          <w:szCs w:val="24"/>
        </w:rPr>
        <w:t>等单位共同认真分析研讨</w:t>
      </w:r>
      <w:r>
        <w:rPr>
          <w:rFonts w:asciiTheme="minorEastAsia" w:hAnsiTheme="minorEastAsia"/>
          <w:sz w:val="24"/>
          <w:szCs w:val="24"/>
        </w:rPr>
        <w:t>，</w:t>
      </w:r>
      <w:r>
        <w:rPr>
          <w:rFonts w:hint="eastAsia" w:asciiTheme="minorEastAsia" w:hAnsiTheme="minorEastAsia"/>
          <w:sz w:val="24"/>
          <w:szCs w:val="24"/>
        </w:rPr>
        <w:t>基于《中华人民共和国食品安全法》、《中华人民共和国食品安全法实施条例》、《中华人民共和国农产品质量安全法》、《中华人民共和国电子商务法》、《中华人民共和国产品质量法》等现行国家法律法规要求，参考GB/T 35409 《电子商务平台商家入驻审核规范》GB 31605《食品安全国家标准 食品冷链物流卫生规范》GB/T 34827 《电子商务信用 第三方网络零售平台交易纠纷处理通则》内容要求，提出了《社区零售平台食品安全管理规范》团体标准初稿。</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t>2021年3月</w:t>
      </w:r>
      <w:r>
        <w:rPr>
          <w:rFonts w:hint="eastAsia" w:asciiTheme="minorEastAsia" w:hAnsiTheme="minorEastAsia"/>
          <w:sz w:val="24"/>
          <w:szCs w:val="24"/>
        </w:rPr>
        <w:t>30日</w:t>
      </w:r>
      <w:r>
        <w:rPr>
          <w:rFonts w:asciiTheme="minorEastAsia" w:hAnsiTheme="minorEastAsia"/>
          <w:sz w:val="24"/>
          <w:szCs w:val="24"/>
        </w:rPr>
        <w:t>，</w:t>
      </w:r>
      <w:r>
        <w:rPr>
          <w:rFonts w:hint="eastAsia" w:ascii="宋体" w:hAnsi="宋体" w:eastAsia="宋体" w:cs="Times New Roman"/>
          <w:sz w:val="24"/>
          <w:szCs w:val="24"/>
        </w:rPr>
        <w:t>北京嘀嘀无限科技发展有限公司、橙心优选（北京）科技发展有限公司、</w:t>
      </w:r>
      <w:bookmarkStart w:id="1" w:name="_GoBack"/>
      <w:r>
        <w:rPr>
          <w:rFonts w:hint="eastAsia" w:ascii="宋体" w:hAnsi="宋体" w:eastAsia="宋体" w:cs="Times New Roman"/>
          <w:sz w:val="24"/>
          <w:szCs w:val="24"/>
        </w:rPr>
        <w:t>阿里巴巴集团控股有限公司、上海寻梦信息技术有限公司、</w:t>
      </w:r>
      <w:bookmarkEnd w:id="1"/>
      <w:r>
        <w:rPr>
          <w:rFonts w:hint="eastAsia" w:ascii="宋体" w:hAnsi="宋体" w:eastAsia="宋体" w:cs="Times New Roman"/>
          <w:sz w:val="24"/>
          <w:szCs w:val="24"/>
        </w:rPr>
        <w:t>中粮我买网投资有限公司、内蒙古蒙牛乳业（集团）股份有限公司、通标标准技术服务有限公司</w:t>
      </w:r>
      <w:r>
        <w:rPr>
          <w:rFonts w:asciiTheme="minorEastAsia" w:hAnsiTheme="minorEastAsia"/>
          <w:sz w:val="24"/>
          <w:szCs w:val="24"/>
        </w:rPr>
        <w:t>等于北京召开了标准立项讨论会，并根据讨论结果，形成标准《征求意见稿》，并向行业征求意见。</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t>2021年3月</w:t>
      </w:r>
      <w:r>
        <w:rPr>
          <w:rFonts w:hint="eastAsia" w:asciiTheme="minorEastAsia" w:hAnsiTheme="minorEastAsia"/>
          <w:sz w:val="24"/>
          <w:szCs w:val="24"/>
        </w:rPr>
        <w:t>25</w:t>
      </w:r>
      <w:r>
        <w:rPr>
          <w:rFonts w:asciiTheme="minorEastAsia" w:hAnsiTheme="minorEastAsia"/>
          <w:sz w:val="24"/>
          <w:szCs w:val="24"/>
        </w:rPr>
        <w:t>日，</w:t>
      </w:r>
      <w:r>
        <w:rPr>
          <w:rFonts w:hint="eastAsia" w:ascii="宋体" w:hAnsi="宋体" w:eastAsia="宋体" w:cs="Times New Roman"/>
          <w:sz w:val="24"/>
          <w:szCs w:val="24"/>
        </w:rPr>
        <w:t>橙心优选（北京）科技发展有限公司</w:t>
      </w:r>
      <w:r>
        <w:rPr>
          <w:rFonts w:asciiTheme="minorEastAsia" w:hAnsiTheme="minorEastAsia"/>
          <w:sz w:val="24"/>
          <w:szCs w:val="24"/>
        </w:rPr>
        <w:t>根据行业反馈意见对标准进行修改，完成标准的送审稿</w:t>
      </w:r>
      <w:r>
        <w:rPr>
          <w:rFonts w:hint="eastAsia" w:asciiTheme="minorEastAsia" w:hAnsiTheme="minorEastAsia"/>
          <w:sz w:val="24"/>
          <w:szCs w:val="24"/>
        </w:rPr>
        <w:t>。</w:t>
      </w:r>
    </w:p>
    <w:p>
      <w:pPr>
        <w:spacing w:line="480" w:lineRule="exact"/>
        <w:ind w:firstLine="480" w:firstLineChars="200"/>
        <w:rPr>
          <w:rFonts w:asciiTheme="minorEastAsia" w:hAnsiTheme="minorEastAsia"/>
          <w:sz w:val="24"/>
          <w:szCs w:val="24"/>
        </w:rPr>
      </w:pPr>
      <w:r>
        <w:rPr>
          <w:rFonts w:ascii="宋体" w:hAnsi="宋体" w:eastAsia="宋体" w:cs="Times New Roman"/>
          <w:color w:val="000000" w:themeColor="text1"/>
          <w:sz w:val="24"/>
          <w:szCs w:val="24"/>
          <w14:textFill>
            <w14:solidFill>
              <w14:schemeClr w14:val="tx1"/>
            </w14:solidFill>
          </w14:textFill>
        </w:rPr>
        <w:t>20</w:t>
      </w:r>
      <w:r>
        <w:rPr>
          <w:rFonts w:hint="eastAsia" w:ascii="宋体" w:hAnsi="宋体" w:eastAsia="宋体" w:cs="Times New Roman"/>
          <w:color w:val="000000" w:themeColor="text1"/>
          <w:sz w:val="24"/>
          <w:szCs w:val="24"/>
          <w14:textFill>
            <w14:solidFill>
              <w14:schemeClr w14:val="tx1"/>
            </w14:solidFill>
          </w14:textFill>
        </w:rPr>
        <w:t>21</w:t>
      </w:r>
      <w:r>
        <w:rPr>
          <w:rFonts w:ascii="宋体" w:hAnsi="宋体" w:eastAsia="宋体" w:cs="Times New Roman"/>
          <w:color w:val="000000" w:themeColor="text1"/>
          <w:sz w:val="24"/>
          <w:szCs w:val="24"/>
          <w14:textFill>
            <w14:solidFill>
              <w14:schemeClr w14:val="tx1"/>
            </w14:solidFill>
          </w14:textFill>
        </w:rPr>
        <w:t xml:space="preserve">年 </w:t>
      </w:r>
      <w:r>
        <w:rPr>
          <w:rFonts w:hint="eastAsia" w:ascii="宋体" w:hAnsi="宋体" w:eastAsia="宋体" w:cs="Times New Roman"/>
          <w:color w:val="000000" w:themeColor="text1"/>
          <w:sz w:val="24"/>
          <w:szCs w:val="24"/>
          <w14:textFill>
            <w14:solidFill>
              <w14:schemeClr w14:val="tx1"/>
            </w14:solidFill>
          </w14:textFill>
        </w:rPr>
        <w:t>月</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日，召开了标准审定会议，讨论送审稿标准内容，修改后形成标准报批稿。</w:t>
      </w:r>
    </w:p>
    <w:p>
      <w:pPr>
        <w:spacing w:line="480" w:lineRule="exact"/>
        <w:ind w:firstLine="480" w:firstLineChars="200"/>
        <w:rPr>
          <w:rFonts w:ascii="宋体" w:hAnsi="宋体" w:eastAsia="宋体" w:cs="Times New Roman"/>
          <w:color w:val="000000" w:themeColor="text1"/>
          <w:sz w:val="24"/>
          <w:szCs w:val="24"/>
          <w14:textFill>
            <w14:solidFill>
              <w14:schemeClr w14:val="tx1"/>
            </w14:solidFill>
          </w14:textFill>
        </w:rPr>
      </w:pPr>
    </w:p>
    <w:p>
      <w:pPr>
        <w:spacing w:line="480" w:lineRule="exact"/>
        <w:rPr>
          <w:rFonts w:ascii="宋体" w:hAnsi="宋体" w:eastAsia="宋体" w:cs="Times New Roman"/>
          <w:sz w:val="24"/>
          <w:szCs w:val="24"/>
        </w:rPr>
      </w:pPr>
      <w:r>
        <w:rPr>
          <w:rFonts w:hint="eastAsia" w:ascii="宋体" w:hAnsi="宋体" w:eastAsia="宋体" w:cs="Times New Roman"/>
          <w:b/>
          <w:sz w:val="24"/>
          <w:szCs w:val="24"/>
        </w:rPr>
        <w:t>4</w:t>
      </w:r>
      <w:r>
        <w:rPr>
          <w:rFonts w:ascii="宋体" w:hAnsi="宋体" w:eastAsia="宋体" w:cs="Times New Roman"/>
          <w:b/>
          <w:sz w:val="24"/>
          <w:szCs w:val="24"/>
        </w:rPr>
        <w:t>、主要起草单位及起草人所做的工作</w:t>
      </w:r>
    </w:p>
    <w:tbl>
      <w:tblPr>
        <w:tblStyle w:val="8"/>
        <w:tblW w:w="926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5"/>
        <w:gridCol w:w="1842"/>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3545" w:type="dxa"/>
            <w:shd w:val="clear" w:color="auto" w:fill="auto"/>
            <w:vAlign w:val="center"/>
          </w:tcPr>
          <w:p>
            <w:pPr>
              <w:spacing w:line="480" w:lineRule="exact"/>
              <w:jc w:val="center"/>
              <w:rPr>
                <w:rFonts w:ascii="宋体" w:hAnsi="宋体" w:eastAsia="宋体" w:cs="Times New Roman"/>
                <w:sz w:val="24"/>
                <w:szCs w:val="24"/>
              </w:rPr>
            </w:pPr>
            <w:r>
              <w:rPr>
                <w:rFonts w:ascii="宋体" w:hAnsi="宋体" w:eastAsia="宋体" w:cs="Times New Roman"/>
                <w:sz w:val="24"/>
                <w:szCs w:val="24"/>
              </w:rPr>
              <w:t>主要参加单位</w:t>
            </w:r>
          </w:p>
        </w:tc>
        <w:tc>
          <w:tcPr>
            <w:tcW w:w="1842" w:type="dxa"/>
            <w:shd w:val="clear" w:color="auto" w:fill="auto"/>
            <w:vAlign w:val="center"/>
          </w:tcPr>
          <w:p>
            <w:pPr>
              <w:spacing w:line="480" w:lineRule="exact"/>
              <w:jc w:val="center"/>
              <w:rPr>
                <w:rFonts w:ascii="宋体" w:hAnsi="宋体" w:eastAsia="宋体" w:cs="Times New Roman"/>
                <w:sz w:val="24"/>
                <w:szCs w:val="24"/>
              </w:rPr>
            </w:pPr>
            <w:r>
              <w:rPr>
                <w:rFonts w:ascii="宋体" w:hAnsi="宋体" w:eastAsia="宋体" w:cs="Times New Roman"/>
                <w:sz w:val="24"/>
                <w:szCs w:val="24"/>
              </w:rPr>
              <w:t>成员</w:t>
            </w:r>
          </w:p>
        </w:tc>
        <w:tc>
          <w:tcPr>
            <w:tcW w:w="3878" w:type="dxa"/>
            <w:shd w:val="clear" w:color="auto" w:fill="auto"/>
            <w:vAlign w:val="center"/>
          </w:tcPr>
          <w:p>
            <w:pPr>
              <w:spacing w:line="480" w:lineRule="exact"/>
              <w:jc w:val="center"/>
              <w:rPr>
                <w:rFonts w:ascii="宋体" w:hAnsi="宋体" w:eastAsia="宋体" w:cs="Times New Roman"/>
                <w:sz w:val="24"/>
                <w:szCs w:val="24"/>
              </w:rPr>
            </w:pPr>
            <w:r>
              <w:rPr>
                <w:rFonts w:ascii="宋体" w:hAnsi="宋体" w:eastAsia="宋体" w:cs="Times New Roman"/>
                <w:sz w:val="24"/>
                <w:szCs w:val="24"/>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45" w:type="dxa"/>
            <w:shd w:val="clear" w:color="auto" w:fill="auto"/>
            <w:vAlign w:val="center"/>
          </w:tcPr>
          <w:p>
            <w:pPr>
              <w:widowControl/>
              <w:rPr>
                <w:rFonts w:ascii="宋体" w:hAnsi="宋体" w:eastAsia="宋体" w:cs="Times New Roman"/>
                <w:sz w:val="24"/>
                <w:szCs w:val="24"/>
              </w:rPr>
            </w:pPr>
            <w:r>
              <w:rPr>
                <w:rFonts w:ascii="宋体" w:hAnsi="宋体" w:eastAsia="宋体" w:cs="Times New Roman"/>
                <w:sz w:val="24"/>
                <w:szCs w:val="24"/>
              </w:rPr>
              <w:t>橙心优选（北京）科技发展有限公司</w:t>
            </w:r>
            <w:r>
              <w:rPr>
                <w:rFonts w:hint="eastAsia" w:ascii="宋体" w:hAnsi="宋体" w:eastAsia="宋体" w:cs="Times New Roman"/>
                <w:sz w:val="24"/>
                <w:szCs w:val="24"/>
              </w:rPr>
              <w:t>、北京嘀嘀无限科技发展有限公司</w:t>
            </w:r>
          </w:p>
        </w:tc>
        <w:tc>
          <w:tcPr>
            <w:tcW w:w="1842" w:type="dxa"/>
            <w:shd w:val="clear" w:color="auto" w:fill="auto"/>
            <w:vAlign w:val="center"/>
          </w:tcPr>
          <w:p>
            <w:pPr>
              <w:spacing w:line="480" w:lineRule="exact"/>
              <w:rPr>
                <w:rFonts w:ascii="宋体" w:hAnsi="宋体" w:eastAsia="宋体" w:cs="Times New Roman"/>
                <w:sz w:val="24"/>
                <w:szCs w:val="24"/>
              </w:rPr>
            </w:pPr>
            <w:r>
              <w:rPr>
                <w:rFonts w:hint="eastAsia" w:ascii="宋体" w:hAnsi="宋体" w:eastAsia="宋体" w:cs="Times New Roman"/>
                <w:sz w:val="24"/>
                <w:szCs w:val="24"/>
              </w:rPr>
              <w:t>朱旭东、李靖、</w:t>
            </w:r>
          </w:p>
        </w:tc>
        <w:tc>
          <w:tcPr>
            <w:tcW w:w="3878" w:type="dxa"/>
            <w:shd w:val="clear" w:color="auto" w:fill="auto"/>
            <w:vAlign w:val="center"/>
          </w:tcPr>
          <w:p>
            <w:pPr>
              <w:spacing w:line="480" w:lineRule="exact"/>
              <w:rPr>
                <w:rFonts w:ascii="宋体" w:hAnsi="宋体" w:eastAsia="宋体" w:cs="Times New Roman"/>
                <w:sz w:val="24"/>
                <w:szCs w:val="24"/>
              </w:rPr>
            </w:pPr>
            <w:r>
              <w:rPr>
                <w:rFonts w:ascii="宋体" w:hAnsi="宋体" w:eastAsia="宋体" w:cs="Times New Roman"/>
                <w:sz w:val="24"/>
                <w:szCs w:val="24"/>
              </w:rPr>
              <w:t>项目总牵头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45" w:type="dxa"/>
            <w:shd w:val="clear" w:color="auto" w:fill="auto"/>
            <w:vAlign w:val="center"/>
          </w:tcPr>
          <w:p>
            <w:pPr>
              <w:spacing w:line="480" w:lineRule="exact"/>
              <w:rPr>
                <w:rFonts w:ascii="宋体" w:hAnsi="宋体" w:eastAsia="宋体" w:cs="Times New Roman"/>
                <w:sz w:val="24"/>
                <w:szCs w:val="24"/>
              </w:rPr>
            </w:pPr>
            <w:r>
              <w:rPr>
                <w:rFonts w:ascii="宋体" w:hAnsi="宋体" w:eastAsia="宋体" w:cs="Times New Roman"/>
                <w:sz w:val="24"/>
                <w:szCs w:val="24"/>
              </w:rPr>
              <w:t>橙心优选（北京）科技发展有限公司</w:t>
            </w:r>
            <w:r>
              <w:rPr>
                <w:rFonts w:hint="eastAsia" w:ascii="宋体" w:hAnsi="宋体" w:eastAsia="宋体" w:cs="Times New Roman"/>
                <w:sz w:val="24"/>
                <w:szCs w:val="24"/>
              </w:rPr>
              <w:t>、北京嘀嘀无限科技发展有限公司</w:t>
            </w:r>
          </w:p>
        </w:tc>
        <w:tc>
          <w:tcPr>
            <w:tcW w:w="1842" w:type="dxa"/>
            <w:shd w:val="clear" w:color="auto" w:fill="auto"/>
            <w:vAlign w:val="center"/>
          </w:tcPr>
          <w:p>
            <w:pPr>
              <w:widowControl/>
              <w:autoSpaceDE w:val="0"/>
              <w:autoSpaceDN w:val="0"/>
              <w:spacing w:line="48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何兵、李峥</w:t>
            </w:r>
          </w:p>
          <w:p>
            <w:pPr>
              <w:widowControl/>
              <w:autoSpaceDE w:val="0"/>
              <w:autoSpaceDN w:val="0"/>
              <w:spacing w:line="48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陈汉、夏硕</w:t>
            </w:r>
          </w:p>
        </w:tc>
        <w:tc>
          <w:tcPr>
            <w:tcW w:w="3878" w:type="dxa"/>
            <w:shd w:val="clear" w:color="auto" w:fill="auto"/>
            <w:vAlign w:val="center"/>
          </w:tcPr>
          <w:p>
            <w:pPr>
              <w:spacing w:line="480" w:lineRule="exact"/>
              <w:rPr>
                <w:rFonts w:ascii="宋体" w:hAnsi="宋体" w:eastAsia="宋体" w:cs="Times New Roman"/>
                <w:sz w:val="24"/>
                <w:szCs w:val="24"/>
              </w:rPr>
            </w:pPr>
            <w:r>
              <w:rPr>
                <w:rFonts w:ascii="宋体" w:hAnsi="宋体" w:eastAsia="宋体" w:cs="Times New Roman"/>
                <w:sz w:val="24"/>
                <w:szCs w:val="24"/>
              </w:rPr>
              <w:t>标准化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45" w:type="dxa"/>
            <w:shd w:val="clear" w:color="auto" w:fill="auto"/>
            <w:vAlign w:val="center"/>
          </w:tcPr>
          <w:p>
            <w:pPr>
              <w:spacing w:line="480" w:lineRule="exact"/>
              <w:rPr>
                <w:rFonts w:ascii="宋体" w:hAnsi="宋体" w:eastAsia="宋体" w:cs="Times New Roman"/>
                <w:color w:val="000000" w:themeColor="text1"/>
                <w:sz w:val="24"/>
                <w:szCs w:val="24"/>
                <w:highlight w:val="yellow"/>
                <w14:textFill>
                  <w14:solidFill>
                    <w14:schemeClr w14:val="tx1"/>
                  </w14:solidFill>
                </w14:textFill>
              </w:rPr>
            </w:pPr>
            <w:r>
              <w:rPr>
                <w:rFonts w:hint="eastAsia" w:ascii="宋体" w:hAnsi="宋体" w:eastAsia="宋体" w:cs="Times New Roman"/>
                <w:sz w:val="24"/>
                <w:szCs w:val="24"/>
              </w:rPr>
              <w:t>北京嘀嘀无限科技发展有限公司</w:t>
            </w:r>
          </w:p>
        </w:tc>
        <w:tc>
          <w:tcPr>
            <w:tcW w:w="1842" w:type="dxa"/>
            <w:shd w:val="clear" w:color="auto" w:fill="auto"/>
            <w:vAlign w:val="center"/>
          </w:tcPr>
          <w:p>
            <w:pPr>
              <w:widowControl/>
              <w:autoSpaceDE w:val="0"/>
              <w:autoSpaceDN w:val="0"/>
              <w:spacing w:line="48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何兵、李峥</w:t>
            </w:r>
          </w:p>
        </w:tc>
        <w:tc>
          <w:tcPr>
            <w:tcW w:w="3878" w:type="dxa"/>
            <w:shd w:val="clear" w:color="auto" w:fill="auto"/>
            <w:vAlign w:val="center"/>
          </w:tcPr>
          <w:p>
            <w:pPr>
              <w:spacing w:line="480" w:lineRule="exact"/>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45" w:type="dxa"/>
            <w:shd w:val="clear" w:color="auto" w:fill="auto"/>
            <w:vAlign w:val="center"/>
          </w:tcPr>
          <w:p>
            <w:pPr>
              <w:spacing w:line="480" w:lineRule="exact"/>
              <w:rPr>
                <w:rFonts w:ascii="宋体" w:hAnsi="宋体" w:eastAsia="宋体" w:cs="Times New Roman"/>
                <w:sz w:val="24"/>
                <w:szCs w:val="24"/>
                <w:highlight w:val="yellow"/>
              </w:rPr>
            </w:pPr>
            <w:r>
              <w:rPr>
                <w:rFonts w:ascii="宋体" w:hAnsi="宋体" w:eastAsia="宋体" w:cs="Times New Roman"/>
                <w:sz w:val="24"/>
                <w:szCs w:val="24"/>
              </w:rPr>
              <w:t>橙心优选（北京）科技发展有限公司</w:t>
            </w:r>
          </w:p>
        </w:tc>
        <w:tc>
          <w:tcPr>
            <w:tcW w:w="1842" w:type="dxa"/>
            <w:shd w:val="clear" w:color="auto" w:fill="auto"/>
            <w:vAlign w:val="center"/>
          </w:tcPr>
          <w:p>
            <w:pPr>
              <w:widowControl/>
              <w:autoSpaceDE w:val="0"/>
              <w:autoSpaceDN w:val="0"/>
              <w:spacing w:line="480" w:lineRule="exact"/>
              <w:jc w:val="left"/>
              <w:rPr>
                <w:rFonts w:ascii="宋体" w:hAnsi="宋体" w:eastAsia="宋体" w:cs="Times New Roman"/>
                <w:kern w:val="0"/>
                <w:sz w:val="24"/>
                <w:szCs w:val="24"/>
                <w:highlight w:val="yellow"/>
              </w:rPr>
            </w:pPr>
            <w:r>
              <w:rPr>
                <w:rFonts w:hint="eastAsia" w:ascii="宋体" w:hAnsi="宋体" w:eastAsia="宋体" w:cs="Times New Roman"/>
                <w:kern w:val="0"/>
                <w:sz w:val="24"/>
                <w:szCs w:val="24"/>
              </w:rPr>
              <w:t>陈汉、夏硕</w:t>
            </w:r>
          </w:p>
        </w:tc>
        <w:tc>
          <w:tcPr>
            <w:tcW w:w="3878" w:type="dxa"/>
            <w:shd w:val="clear" w:color="auto" w:fill="auto"/>
            <w:vAlign w:val="center"/>
          </w:tcPr>
          <w:p>
            <w:pPr>
              <w:spacing w:line="480" w:lineRule="exact"/>
              <w:rPr>
                <w:rFonts w:ascii="宋体" w:hAnsi="宋体" w:eastAsia="宋体" w:cs="Times New Roman"/>
                <w:sz w:val="24"/>
                <w:szCs w:val="24"/>
              </w:rPr>
            </w:pPr>
            <w:r>
              <w:rPr>
                <w:rFonts w:ascii="宋体" w:hAnsi="宋体" w:eastAsia="宋体" w:cs="Times New Roman"/>
                <w:sz w:val="24"/>
                <w:szCs w:val="24"/>
              </w:rPr>
              <w:t>标准编写主要负责人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45" w:type="dxa"/>
            <w:shd w:val="clear" w:color="auto" w:fill="auto"/>
            <w:vAlign w:val="center"/>
          </w:tcPr>
          <w:p>
            <w:pPr>
              <w:spacing w:line="480" w:lineRule="exact"/>
              <w:rPr>
                <w:rFonts w:ascii="宋体" w:hAnsi="宋体"/>
                <w:sz w:val="24"/>
                <w:szCs w:val="24"/>
              </w:rPr>
            </w:pPr>
            <w:r>
              <w:rPr>
                <w:rFonts w:hint="eastAsia" w:ascii="宋体" w:hAnsi="宋体" w:eastAsia="宋体" w:cs="Times New Roman"/>
                <w:sz w:val="24"/>
                <w:szCs w:val="24"/>
              </w:rPr>
              <w:t>北京嘀嘀无限科技发展有限公司</w:t>
            </w:r>
          </w:p>
        </w:tc>
        <w:tc>
          <w:tcPr>
            <w:tcW w:w="1842" w:type="dxa"/>
            <w:shd w:val="clear" w:color="auto" w:fill="auto"/>
            <w:vAlign w:val="center"/>
          </w:tcPr>
          <w:p>
            <w:pPr>
              <w:widowControl/>
              <w:autoSpaceDE w:val="0"/>
              <w:autoSpaceDN w:val="0"/>
              <w:spacing w:line="480" w:lineRule="exact"/>
              <w:jc w:val="left"/>
              <w:rPr>
                <w:rFonts w:ascii="宋体" w:hAnsi="宋体"/>
                <w:kern w:val="0"/>
                <w:sz w:val="24"/>
                <w:szCs w:val="24"/>
              </w:rPr>
            </w:pPr>
            <w:r>
              <w:rPr>
                <w:rFonts w:hint="eastAsia" w:ascii="宋体" w:hAnsi="宋体" w:eastAsia="宋体" w:cs="Times New Roman"/>
                <w:kern w:val="0"/>
                <w:sz w:val="24"/>
                <w:szCs w:val="24"/>
              </w:rPr>
              <w:t>何兵、李峥</w:t>
            </w:r>
          </w:p>
        </w:tc>
        <w:tc>
          <w:tcPr>
            <w:tcW w:w="3878" w:type="dxa"/>
            <w:shd w:val="clear" w:color="auto" w:fill="auto"/>
            <w:vAlign w:val="center"/>
          </w:tcPr>
          <w:p>
            <w:pPr>
              <w:spacing w:line="480" w:lineRule="exact"/>
              <w:rPr>
                <w:rFonts w:ascii="宋体" w:hAnsi="宋体"/>
                <w:sz w:val="24"/>
                <w:szCs w:val="24"/>
              </w:rPr>
            </w:pPr>
            <w:r>
              <w:rPr>
                <w:rFonts w:ascii="宋体" w:hAnsi="宋体"/>
                <w:sz w:val="24"/>
                <w:szCs w:val="24"/>
              </w:rPr>
              <w:t>负责标准制定工作组织协调等工作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45" w:type="dxa"/>
            <w:shd w:val="clear" w:color="auto" w:fill="auto"/>
            <w:vAlign w:val="center"/>
          </w:tcPr>
          <w:p>
            <w:pPr>
              <w:spacing w:line="480" w:lineRule="exact"/>
              <w:rPr>
                <w:rFonts w:ascii="宋体" w:hAnsi="宋体" w:eastAsia="宋体" w:cs="Times New Roman"/>
                <w:sz w:val="24"/>
                <w:szCs w:val="24"/>
              </w:rPr>
            </w:pPr>
            <w:r>
              <w:rPr>
                <w:rFonts w:hint="eastAsia" w:ascii="宋体" w:hAnsi="宋体" w:eastAsia="宋体" w:cs="Times New Roman"/>
                <w:sz w:val="24"/>
                <w:szCs w:val="24"/>
              </w:rPr>
              <w:t>中粮我买网投资有限公司</w:t>
            </w:r>
          </w:p>
          <w:p>
            <w:pPr>
              <w:spacing w:line="480" w:lineRule="exact"/>
              <w:rPr>
                <w:rFonts w:ascii="宋体" w:hAnsi="宋体" w:eastAsia="宋体" w:cs="Times New Roman"/>
                <w:sz w:val="24"/>
                <w:szCs w:val="24"/>
              </w:rPr>
            </w:pPr>
            <w:r>
              <w:rPr>
                <w:rFonts w:hint="eastAsia" w:ascii="宋体" w:hAnsi="宋体" w:eastAsia="宋体" w:cs="Times New Roman"/>
                <w:sz w:val="24"/>
                <w:szCs w:val="24"/>
              </w:rPr>
              <w:t>内蒙古蒙牛乳业（集团）股份有限公司</w:t>
            </w:r>
          </w:p>
          <w:p>
            <w:pPr>
              <w:spacing w:line="480" w:lineRule="exact"/>
              <w:rPr>
                <w:rFonts w:ascii="宋体" w:hAnsi="宋体" w:eastAsia="宋体" w:cs="Times New Roman"/>
                <w:sz w:val="24"/>
                <w:szCs w:val="24"/>
              </w:rPr>
            </w:pPr>
            <w:r>
              <w:rPr>
                <w:rFonts w:hint="eastAsia" w:ascii="宋体" w:hAnsi="宋体" w:eastAsia="宋体" w:cs="Times New Roman"/>
                <w:sz w:val="24"/>
                <w:szCs w:val="24"/>
              </w:rPr>
              <w:t>阿里巴巴集团控股有限公司</w:t>
            </w:r>
          </w:p>
          <w:p>
            <w:pPr>
              <w:spacing w:line="480" w:lineRule="exact"/>
              <w:rPr>
                <w:rFonts w:ascii="宋体" w:hAnsi="宋体" w:eastAsia="宋体" w:cs="Times New Roman"/>
                <w:sz w:val="24"/>
                <w:szCs w:val="24"/>
              </w:rPr>
            </w:pPr>
            <w:r>
              <w:rPr>
                <w:rFonts w:hint="eastAsia" w:ascii="宋体" w:hAnsi="宋体" w:eastAsia="宋体" w:cs="Times New Roman"/>
                <w:sz w:val="24"/>
                <w:szCs w:val="24"/>
              </w:rPr>
              <w:t>上海寻梦信息技术有限公司</w:t>
            </w:r>
          </w:p>
          <w:p>
            <w:pPr>
              <w:spacing w:line="480" w:lineRule="exact"/>
              <w:rPr>
                <w:rFonts w:ascii="宋体" w:hAnsi="宋体" w:eastAsia="宋体" w:cs="Times New Roman"/>
                <w:sz w:val="24"/>
                <w:szCs w:val="24"/>
              </w:rPr>
            </w:pPr>
            <w:r>
              <w:rPr>
                <w:rFonts w:hint="eastAsia" w:ascii="宋体" w:hAnsi="宋体" w:eastAsia="宋体" w:cs="Times New Roman"/>
                <w:sz w:val="24"/>
                <w:szCs w:val="24"/>
              </w:rPr>
              <w:t>通标标准技术服务有限公司</w:t>
            </w:r>
          </w:p>
        </w:tc>
        <w:tc>
          <w:tcPr>
            <w:tcW w:w="1842" w:type="dxa"/>
            <w:shd w:val="clear" w:color="auto" w:fill="auto"/>
            <w:vAlign w:val="center"/>
          </w:tcPr>
          <w:p>
            <w:pPr>
              <w:widowControl/>
              <w:autoSpaceDE w:val="0"/>
              <w:autoSpaceDN w:val="0"/>
              <w:spacing w:line="48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肖继伟、刘颖</w:t>
            </w:r>
          </w:p>
          <w:p>
            <w:pPr>
              <w:widowControl/>
              <w:autoSpaceDE w:val="0"/>
              <w:autoSpaceDN w:val="0"/>
              <w:spacing w:line="48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张铮铮、康晓斌、孙亮</w:t>
            </w:r>
          </w:p>
          <w:p>
            <w:pPr>
              <w:widowControl/>
              <w:autoSpaceDE w:val="0"/>
              <w:autoSpaceDN w:val="0"/>
              <w:spacing w:line="48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刘树超、王乐、陈彦</w:t>
            </w:r>
          </w:p>
          <w:p>
            <w:pPr>
              <w:widowControl/>
              <w:autoSpaceDE w:val="0"/>
              <w:autoSpaceDN w:val="0"/>
              <w:spacing w:line="48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刘奕诗</w:t>
            </w:r>
          </w:p>
          <w:p>
            <w:pPr>
              <w:widowControl/>
              <w:autoSpaceDE w:val="0"/>
              <w:autoSpaceDN w:val="0"/>
              <w:spacing w:line="48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李健</w:t>
            </w:r>
          </w:p>
        </w:tc>
        <w:tc>
          <w:tcPr>
            <w:tcW w:w="3878" w:type="dxa"/>
            <w:shd w:val="clear" w:color="auto" w:fill="auto"/>
            <w:vAlign w:val="center"/>
          </w:tcPr>
          <w:p>
            <w:pPr>
              <w:spacing w:line="480" w:lineRule="exact"/>
              <w:rPr>
                <w:rFonts w:ascii="宋体" w:hAnsi="宋体" w:eastAsia="宋体" w:cs="Times New Roman"/>
                <w:sz w:val="24"/>
                <w:szCs w:val="24"/>
              </w:rPr>
            </w:pPr>
            <w:r>
              <w:rPr>
                <w:rFonts w:ascii="宋体" w:hAnsi="宋体"/>
                <w:sz w:val="24"/>
                <w:szCs w:val="24"/>
              </w:rPr>
              <w:t>方法验证、标准讨论与完善</w:t>
            </w:r>
          </w:p>
        </w:tc>
      </w:tr>
    </w:tbl>
    <w:p>
      <w:pPr>
        <w:spacing w:line="480" w:lineRule="exact"/>
        <w:rPr>
          <w:rFonts w:ascii="宋体" w:hAnsi="宋体" w:eastAsia="宋体" w:cs="Times New Roman"/>
          <w:sz w:val="24"/>
          <w:szCs w:val="24"/>
        </w:rPr>
      </w:pPr>
    </w:p>
    <w:p>
      <w:pPr>
        <w:spacing w:before="156" w:beforeLines="50" w:after="156" w:afterLines="50"/>
        <w:outlineLvl w:val="0"/>
        <w:rPr>
          <w:rFonts w:ascii="宋体" w:hAnsi="宋体" w:eastAsia="宋体" w:cs="Times New Roman"/>
          <w:b/>
          <w:sz w:val="24"/>
          <w:szCs w:val="24"/>
        </w:rPr>
      </w:pPr>
      <w:r>
        <w:rPr>
          <w:rFonts w:ascii="宋体" w:hAnsi="宋体" w:eastAsia="宋体" w:cs="Times New Roman"/>
          <w:b/>
          <w:sz w:val="24"/>
          <w:szCs w:val="24"/>
        </w:rPr>
        <w:t>二、</w:t>
      </w:r>
      <w:r>
        <w:rPr>
          <w:rFonts w:hint="eastAsia" w:ascii="宋体" w:hAnsi="宋体" w:eastAsia="宋体" w:cs="Times New Roman"/>
          <w:b/>
          <w:sz w:val="24"/>
          <w:szCs w:val="24"/>
        </w:rPr>
        <w:t>标准主要技术内容</w:t>
      </w:r>
    </w:p>
    <w:p>
      <w:pPr>
        <w:widowControl/>
        <w:spacing w:line="480" w:lineRule="exact"/>
        <w:ind w:firstLine="482" w:firstLineChars="200"/>
        <w:rPr>
          <w:rFonts w:ascii="宋体" w:hAnsi="宋体" w:eastAsia="宋体" w:cs="Times New Roman"/>
          <w:b/>
          <w:kern w:val="0"/>
          <w:sz w:val="24"/>
          <w:szCs w:val="24"/>
        </w:rPr>
      </w:pPr>
      <w:r>
        <w:rPr>
          <w:rFonts w:hint="eastAsia" w:ascii="宋体" w:hAnsi="宋体" w:eastAsia="宋体" w:cs="Times New Roman"/>
          <w:b/>
          <w:kern w:val="0"/>
          <w:sz w:val="24"/>
          <w:szCs w:val="24"/>
        </w:rPr>
        <w:t>1、标准制定原则</w:t>
      </w:r>
    </w:p>
    <w:p>
      <w:pPr>
        <w:spacing w:line="480" w:lineRule="exact"/>
        <w:ind w:firstLine="480" w:firstLineChars="200"/>
        <w:rPr>
          <w:rFonts w:asciiTheme="minorEastAsia" w:hAnsiTheme="minorEastAsia"/>
          <w:bCs/>
          <w:sz w:val="24"/>
          <w:szCs w:val="24"/>
        </w:rPr>
      </w:pPr>
      <w:r>
        <w:rPr>
          <w:rFonts w:hint="eastAsia" w:asciiTheme="minorEastAsia" w:hAnsiTheme="minorEastAsia"/>
          <w:sz w:val="24"/>
          <w:szCs w:val="24"/>
        </w:rPr>
        <w:t>（1）</w:t>
      </w:r>
      <w:r>
        <w:rPr>
          <w:rFonts w:asciiTheme="minorEastAsia" w:hAnsiTheme="minorEastAsia"/>
          <w:sz w:val="24"/>
          <w:szCs w:val="24"/>
        </w:rPr>
        <w:t>原</w:t>
      </w:r>
      <w:r>
        <w:rPr>
          <w:rFonts w:asciiTheme="minorEastAsia" w:hAnsiTheme="minorEastAsia"/>
          <w:bCs/>
          <w:sz w:val="24"/>
          <w:szCs w:val="24"/>
        </w:rPr>
        <w:t>则性：根据《中华人民共和国标准法》及其《实施细则》、《标准化工作导则第1部分：标准的结构和编写》GB/T 1.1－20</w:t>
      </w:r>
      <w:r>
        <w:rPr>
          <w:rFonts w:hint="eastAsia" w:asciiTheme="minorEastAsia" w:hAnsiTheme="minorEastAsia"/>
          <w:bCs/>
          <w:sz w:val="24"/>
          <w:szCs w:val="24"/>
        </w:rPr>
        <w:t>20</w:t>
      </w:r>
      <w:r>
        <w:rPr>
          <w:rFonts w:asciiTheme="minorEastAsia" w:hAnsiTheme="minorEastAsia"/>
          <w:bCs/>
          <w:sz w:val="24"/>
          <w:szCs w:val="24"/>
        </w:rPr>
        <w:t>进行编制。</w:t>
      </w:r>
    </w:p>
    <w:p>
      <w:pPr>
        <w:spacing w:line="480" w:lineRule="exact"/>
        <w:ind w:firstLine="480" w:firstLineChars="200"/>
        <w:rPr>
          <w:rFonts w:asciiTheme="minorEastAsia" w:hAnsiTheme="minorEastAsia"/>
          <w:bCs/>
          <w:sz w:val="24"/>
          <w:szCs w:val="24"/>
        </w:rPr>
      </w:pPr>
      <w:r>
        <w:rPr>
          <w:rFonts w:asciiTheme="minorEastAsia" w:hAnsiTheme="minorEastAsia"/>
          <w:bCs/>
          <w:sz w:val="24"/>
          <w:szCs w:val="24"/>
        </w:rPr>
        <w:t>（2）适应性：</w:t>
      </w:r>
      <w:r>
        <w:rPr>
          <w:rFonts w:hint="eastAsia" w:asciiTheme="minorEastAsia" w:hAnsiTheme="minorEastAsia"/>
          <w:bCs/>
          <w:sz w:val="24"/>
          <w:szCs w:val="24"/>
        </w:rPr>
        <w:t xml:space="preserve"> 遵从</w:t>
      </w:r>
      <w:r>
        <w:rPr>
          <w:rFonts w:hint="eastAsia" w:asciiTheme="minorEastAsia" w:hAnsiTheme="minorEastAsia"/>
          <w:sz w:val="24"/>
          <w:szCs w:val="24"/>
        </w:rPr>
        <w:t>《中华人民共和国食品安全法》、《中华人民共和国食品安全法实施条例》、《中华人民共和国农产品质量安全法》、《中华人民共和国电子商务法》、《中华人民共和国产品质量法》</w:t>
      </w:r>
      <w:r>
        <w:rPr>
          <w:rFonts w:hint="eastAsia" w:asciiTheme="minorEastAsia" w:hAnsiTheme="minorEastAsia"/>
          <w:bCs/>
          <w:sz w:val="24"/>
          <w:szCs w:val="24"/>
        </w:rPr>
        <w:t>要求，既充分考虑社区电商平台供应链各相关方的食品安全实际管理水平，又针对性地制定出网格站、团长端等</w:t>
      </w:r>
      <w:r>
        <w:rPr>
          <w:rFonts w:hint="eastAsia" w:asciiTheme="minorEastAsia" w:hAnsiTheme="minorEastAsia"/>
          <w:sz w:val="24"/>
          <w:szCs w:val="24"/>
        </w:rPr>
        <w:t>新节点的食品安全管理</w:t>
      </w:r>
      <w:r>
        <w:rPr>
          <w:rFonts w:hint="eastAsia" w:asciiTheme="minorEastAsia" w:hAnsiTheme="minorEastAsia"/>
          <w:bCs/>
          <w:sz w:val="24"/>
          <w:szCs w:val="24"/>
        </w:rPr>
        <w:t>内容，符合监管部门及消费者对社区电商平台食品安全的要求。</w:t>
      </w:r>
    </w:p>
    <w:p>
      <w:pPr>
        <w:spacing w:line="480" w:lineRule="exact"/>
        <w:ind w:firstLine="480" w:firstLineChars="200"/>
        <w:rPr>
          <w:rFonts w:asciiTheme="minorEastAsia" w:hAnsiTheme="minorEastAsia"/>
          <w:sz w:val="24"/>
          <w:szCs w:val="24"/>
        </w:rPr>
      </w:pPr>
      <w:r>
        <w:rPr>
          <w:rFonts w:asciiTheme="minorEastAsia" w:hAnsiTheme="minorEastAsia"/>
          <w:bCs/>
          <w:sz w:val="24"/>
          <w:szCs w:val="24"/>
        </w:rPr>
        <w:t>（3）先进性：</w:t>
      </w:r>
      <w:r>
        <w:rPr>
          <w:rFonts w:hint="eastAsia" w:asciiTheme="minorEastAsia" w:hAnsiTheme="minorEastAsia"/>
          <w:bCs/>
          <w:sz w:val="24"/>
          <w:szCs w:val="24"/>
        </w:rPr>
        <w:t>除本标准外，</w:t>
      </w:r>
      <w:r>
        <w:rPr>
          <w:rFonts w:asciiTheme="minorEastAsia" w:hAnsiTheme="minorEastAsia"/>
          <w:bCs/>
          <w:sz w:val="24"/>
          <w:szCs w:val="24"/>
        </w:rPr>
        <w:t>目前</w:t>
      </w:r>
      <w:r>
        <w:rPr>
          <w:rFonts w:hint="eastAsia" w:asciiTheme="minorEastAsia" w:hAnsiTheme="minorEastAsia"/>
          <w:bCs/>
          <w:sz w:val="24"/>
          <w:szCs w:val="24"/>
        </w:rPr>
        <w:t>尚未存在任何专门针对社区团购供应链模式下的食品安全管理规范及相关标准，通过对社区零售供应链模式下涉及的电商平台、平台商家、团长、消费者、仓库租赁方、运输承包商等各相关方食品安全管理最佳实践的总结归纳，对各运营节点食品安全管理要求的明确，将有效提升社区零售平台整体食品安全管理水平的提升。</w:t>
      </w:r>
      <w:r>
        <w:rPr>
          <w:rFonts w:hint="eastAsia" w:asciiTheme="minorEastAsia" w:hAnsiTheme="minorEastAsia"/>
          <w:sz w:val="24"/>
          <w:szCs w:val="24"/>
        </w:rPr>
        <w:t>本标准的制定</w:t>
      </w:r>
      <w:r>
        <w:rPr>
          <w:rFonts w:hint="eastAsia" w:asciiTheme="minorEastAsia" w:hAnsiTheme="minorEastAsia"/>
          <w:bCs/>
          <w:sz w:val="24"/>
          <w:szCs w:val="24"/>
        </w:rPr>
        <w:t>，能够提供行业规范和风险评估依据，指导行业开展食品安全管理工作，对维护市场环境秩序和保障消费者权益方面起到指导和规范的作用，同时实现优化行业发展环境，推动行业进一步的良性发展</w:t>
      </w:r>
      <w:r>
        <w:rPr>
          <w:rFonts w:hint="eastAsia" w:asciiTheme="minorEastAsia" w:hAnsiTheme="minorEastAsia"/>
          <w:sz w:val="24"/>
          <w:szCs w:val="24"/>
        </w:rPr>
        <w:t>。</w:t>
      </w:r>
      <w:r>
        <w:rPr>
          <w:rFonts w:asciiTheme="minorEastAsia" w:hAnsiTheme="minorEastAsia"/>
          <w:sz w:val="24"/>
          <w:szCs w:val="24"/>
        </w:rPr>
        <w:t xml:space="preserve"> </w:t>
      </w:r>
    </w:p>
    <w:p>
      <w:pPr>
        <w:spacing w:line="480" w:lineRule="exact"/>
        <w:rPr>
          <w:rFonts w:ascii="宋体" w:hAnsi="宋体" w:eastAsia="宋体" w:cs="Times New Roman"/>
          <w:sz w:val="24"/>
          <w:szCs w:val="24"/>
        </w:rPr>
      </w:pPr>
    </w:p>
    <w:p>
      <w:pPr>
        <w:spacing w:line="48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2、主要技术内容介绍：</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7.1　平台商家准入</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7.1.1　平台商家资质审核</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平台应根据法律法规要求建立平台商家入驻管理程序，包括建立平台商家档案、登记平台商家基本情况和供货类目信息、审核平台商家资质，不符合准入要求的不予准入。平台商家资质应符合GB/T 35409的要求。</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7.1.2　平台商家合同和保证金</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平台与平台商家签订的合同可明确双方承担的食品安全主体责任。平台可对平台商家收取保证金，并在消费者权益受到侵害时履行先行赔付义务。</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7.1.3　平台商家管理</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平台应建立平台商家评价准则，对平台商家的食品经营行为及信息进行动态跟踪，对不能履约的商家对应采取不予准入、关闭交易进行整改或停止合作等处置措施。发现平台商家存在食品安全违法行为的，应当及时制止，并向所在地县级食品安全监管部门报告。</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7.2　平台商品准入</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平台应根据法律法规要求建立商品资质准入管理程序，对平台商家经营的食品资质进行审核，不符合准入要求的食品以及国家明令禁售的食品不予准入。平台有权根据国家食品安全风险及平台风险评估对商品进行处置。</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食品资质包括但不限于：</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——营业执照；</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——食品生产经营许可证类；</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——食品合格检测报告；</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——动物防疫卫生条件合格证（仅限国产畜禽分割肉类）；</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——生猪定点屠宰证（仅限生猪产品）；</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——报关单和入境货物检验检疫证明（仅限进口食品）；</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——产品注册证书或者备案凭证（仅限保健食品、特殊医学用途配方食品、婴幼儿配方乳粉）。</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7.3　食品信息展示</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平台展示的信息应符合以下要求：</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——平台展示的食品名称、成分或者配料表、产地、保质期、贮存条件等信息与食品标签或者标识保持一致；</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——平台展示的非保健食品信息不能明示或者暗示具有保健功能；</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平台展示的保健食品、特殊医学用途配方食品、婴幼儿配方乳粉，应当依法公示产品注册证书或者备案凭证，持有广告审查批准文号的还应当公示广告审查批准文号，平台展示的信息应与注册或者备案信息保持一致。保健食品应当显著标明“本品不能代替药物”。婴幼儿配方乳粉产品信息不得明示或者暗示具有益智、增加抵抗力、提高免疫力、保护肠道等功能或者保健作用；</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——对在贮存、运输、食用等方面有特殊要求的食品，需在平台展示的食品信息中予以说明和提示；</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——法律法规规定的其他情形。</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平台应建立食品信息展示管理程序，对平台商家在平台上展示的信息进行抽查审核，不符合要求的食品予以下架。</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7.4　食品验收控制</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7.4.1　验收前置控制</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平台宜在供货前与平台商家确认食品安全标准、质量标准、包装形式和规格等事项，必要时提供食品安全和质量培训服务或驻厂（基地）指导。</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7.4.2　食品验收标准</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平台可根据法律法规要求、食品特点、消费者预期、与平台商家约定等因素，制定食品到货验收标准，包括但不限于以下内容：</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——食品等级、产地、包装规格、标签标识等要求；</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——食品有效期、存储条件要求；</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——食品检测合格报告、动物检验检疫合格证明、入境货物检验检疫证明和报关单等资质证明。</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7.4.3　食品到货验收</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平台应制定食品到货验收管理程序。货物到达中心仓后，平台依据验收标准进行验收。符合验收标准进行收货入库，不符合标准进行退货处置。针对水果和蔬菜等食用农产品由于感官和质量指标不合格允许挑选，经二次验收合格后收货，食品安全指标不合格不予收货。</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到货验收应建立查验记录，验收人员签字，并按4.4.4要求留存记录和相关资质证明。</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7.4.4　食品安全监测</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平台应制定食品安全监测管理程序和抽检计划，根据国家和地方食品安全监督抽检和风险监测通报，及平台自身风险评估结果开展食品安全监测。</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针对高风险蔬菜、水果、肉禽等食用农产品，平台中心仓可配备农药兽药残留快检设备和专业检测人员，实施自检或委托有资质的第三方检测机构进行检测。当检测结果出现异常时，按平台商品管理程序进行处置。</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7.5　仓储作业过程控制</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7.5.1　仓储服务提供者要求</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7.6.1.1平台委托第三方提供仓储服务的，应选择具有合法资质的仓储服务提供者，查验其资质情况、食品安全保障能力，并建立仓储服务提供者档案。</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7.6.1.2 平台与仓储服务提供者签订的合同应明确双方承担的食品安全责任。</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7.6.1.3 第三方仓储服务提供者可参照7.5.2-7.5.4条款要求提供仓储服务。</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7.5.2　效期过程控制</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中心仓针对所有入库食品应登记生产日期和有效期等信息，对食品效期定期预警，避免过期或临期食品出库。</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7.5.3　加工过程控制</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7.6.3.1具备食用农产品加工功能的中心仓，所有接触包装前的食用农产品的从业人员应持健康证明上岗。食用农产品包装材料应符合国家相关卫生标准要求，并按国家相关法规要求打印标签。</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7.6.3.2预包装食品平台不得拆封后重新包装或散装销售。</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7.5.4　仓储过程控制</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7.6.4.1中心仓和网格站应确保存储环境保持清洁、干燥，并定期通风，避免灰尘、冷凝物、烟气、异味或其他污染物的污染，防止虫害孳生。</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7.6.4.2食品应分区存储，必要时设置物理隔离。中心仓和网格站可设立常温、冷冻、冷藏食品存储区域，并可视情况划分不合格食品区、废弃物品区、化学品区并明确标示。</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7.6.4.3仓储区域冷冻、冷藏食品的储存环境温度控制和温度记录按GB 31605执行。</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7.6.4.4食品存储应离地离墙，不得将食品挤压存放。</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7.5.5　分拣和投线过程控制</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7.6.5.1分拣投线作业应遵守先进先出原则。</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7.6.5.2投线后的食品应放置在周转容器中，食品和其他商品应分开放置，常温食品和冷链食品应分别放置于常温周转容器中和带冷媒的保温箱内，容易交叉污染的冷链食品不应混放。</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7.6.5.3冷链食品的分拣和投线作业应协作紧密，避免因脱冷导致冷链食品变质。</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7.6.5.3分拣和投线操作应遵守重不压轻、大不压小、商品整体放入周转框内、避免暴力操作，以防商品包装破损导致食品安全风险。</w:t>
      </w:r>
    </w:p>
    <w:p>
      <w:pPr>
        <w:spacing w:line="480" w:lineRule="exact"/>
        <w:ind w:firstLine="480" w:firstLineChars="200"/>
        <w:rPr>
          <w:rFonts w:ascii="宋体" w:hAnsi="宋体" w:eastAsia="宋体" w:cs="Times New Roman"/>
          <w:sz w:val="24"/>
          <w:szCs w:val="24"/>
        </w:rPr>
      </w:pP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7.6　配送作业过程控制</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7.6.1　运输服务提供者要求</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7.7.1.1平台委托第三方运输食品的，应当选择具有合法资质的运输服务提供者，查验其资质情况、食品安全保障能力，并建立运输服务提供者档案，记录运输服务提供者名称、食品经营许可证编号（运输服务提供者为非食品生产经营者的，记录其统一社会信用代码）、联系方式、运输时间、运输食品品种和数量、运输的起始点地址等信息。</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7.7.1.2平台与运输服务提供者签订的合同应明确双方承担的食品安全责任。</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7.6.2　配送过程控制</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7.7.2.1配送车辆和装卸容器、工具和设备应保持清洁并定期消毒，确保清洁、无毒、无害、无异味、无污染。</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7.7.2.2食品投线完成后，应确保食品一直放置在周转容器内进行装卸和配送，保护食品免受潜在污染。</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7.7.2.3冷链食品运输过程中不得擅自开箱，严格控制装卸货时间，确保食品温度始终处于允许波动范围内。</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7.7　团长作业过程控制</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7.8.1平台如存在团长作业环节的，平台应要求团长每天对自提点内的货架、操作台、地面等设施设备进行清洁，确保自提点清洁、无毒、无害、无异味、无污染。</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7.8.2平台应要求团长清点数量后，立即将冷链食品放入冷链设备中防止脱冷，常温食品应放入清洁的容器中或货架上，保护食品免受潜在污染。</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7.8.3货物到达团长自提点后，团长应及时通知消费者自提取货。</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7.8　投诉过程控制</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7.9.1平台应建立客诉处置管理程序，并在网络平台上公示食品安全投诉举报处理制度，确保消费者有通畅的问题反馈渠道并及时得到处理，消费者投诉处理按GB/T 34827执行。如涉及到食品安全事故，则按7.1进行处置。</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7.9.2平台应建立不合格品及退货产品处理管理程序，确保不合格品及退货商品得到妥善处置。</w:t>
      </w:r>
    </w:p>
    <w:p>
      <w:pPr>
        <w:spacing w:line="480" w:lineRule="exact"/>
        <w:ind w:firstLine="480" w:firstLineChars="200"/>
        <w:rPr>
          <w:rFonts w:ascii="宋体" w:hAnsi="宋体" w:eastAsia="宋体" w:cs="Times New Roman"/>
          <w:sz w:val="24"/>
          <w:szCs w:val="24"/>
        </w:rPr>
      </w:pPr>
    </w:p>
    <w:p>
      <w:pPr>
        <w:spacing w:line="480" w:lineRule="exact"/>
        <w:ind w:firstLine="480" w:firstLineChars="200"/>
        <w:rPr>
          <w:rFonts w:ascii="宋体" w:hAnsi="宋体" w:eastAsia="宋体" w:cs="Times New Roman"/>
          <w:sz w:val="24"/>
          <w:szCs w:val="24"/>
        </w:rPr>
      </w:pPr>
    </w:p>
    <w:p>
      <w:pPr>
        <w:spacing w:line="480" w:lineRule="exact"/>
        <w:ind w:firstLine="3272" w:firstLineChars="1358"/>
        <w:rPr>
          <w:rFonts w:ascii="宋体" w:hAnsi="宋体" w:eastAsia="宋体" w:cs="Times New Roman"/>
          <w:b/>
          <w:sz w:val="24"/>
          <w:szCs w:val="24"/>
        </w:rPr>
      </w:pPr>
      <w:r>
        <w:rPr>
          <w:rFonts w:hint="eastAsia" w:ascii="宋体" w:hAnsi="宋体" w:eastAsia="宋体" w:cs="Times New Roman"/>
          <w:b/>
          <w:sz w:val="24"/>
          <w:szCs w:val="24"/>
        </w:rPr>
        <w:t>《社区零售平台食品安全管理规范》起草工作组</w:t>
      </w:r>
    </w:p>
    <w:p>
      <w:pPr>
        <w:spacing w:line="480" w:lineRule="exact"/>
        <w:ind w:firstLine="4607" w:firstLineChars="1912"/>
        <w:rPr>
          <w:rFonts w:ascii="宋体" w:hAnsi="宋体" w:eastAsia="宋体" w:cs="Times New Roman"/>
          <w:b/>
          <w:sz w:val="24"/>
          <w:szCs w:val="24"/>
        </w:rPr>
      </w:pPr>
      <w:r>
        <w:rPr>
          <w:rFonts w:hint="eastAsia" w:ascii="宋体" w:hAnsi="宋体" w:eastAsia="宋体" w:cs="Times New Roman"/>
          <w:b/>
          <w:sz w:val="24"/>
          <w:szCs w:val="24"/>
        </w:rPr>
        <w:t>2021年4月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7C2AF5"/>
    <w:multiLevelType w:val="multilevel"/>
    <w:tmpl w:val="557C2AF5"/>
    <w:lvl w:ilvl="0" w:tentative="0">
      <w:start w:val="1"/>
      <w:numFmt w:val="decimal"/>
      <w:pStyle w:val="22"/>
      <w:suff w:val="nothing"/>
      <w:lvlText w:val="图%1　"/>
      <w:lvlJc w:val="left"/>
      <w:pPr>
        <w:ind w:left="6945" w:firstLine="0"/>
      </w:pPr>
      <w:rPr>
        <w:rFonts w:hint="eastAsia" w:ascii="黑体" w:hAnsi="Times New Roman" w:eastAsia="黑体"/>
        <w:b w:val="0"/>
        <w:i w:val="0"/>
        <w:sz w:val="21"/>
      </w:rPr>
    </w:lvl>
    <w:lvl w:ilvl="1" w:tentative="0">
      <w:start w:val="1"/>
      <w:numFmt w:val="decimal"/>
      <w:suff w:val="nothing"/>
      <w:lvlText w:val="%1%2　"/>
      <w:lvlJc w:val="left"/>
      <w:pPr>
        <w:ind w:left="5387" w:firstLine="0"/>
      </w:pPr>
      <w:rPr>
        <w:rFonts w:hint="default" w:ascii="Times New Roman" w:hAnsi="Times New Roman" w:eastAsia="黑体"/>
        <w:b w:val="0"/>
        <w:i w:val="0"/>
        <w:sz w:val="21"/>
      </w:rPr>
    </w:lvl>
    <w:lvl w:ilvl="2" w:tentative="0">
      <w:start w:val="1"/>
      <w:numFmt w:val="decimal"/>
      <w:suff w:val="nothing"/>
      <w:lvlText w:val="%1%2.%3　"/>
      <w:lvlJc w:val="left"/>
      <w:pPr>
        <w:ind w:left="5387" w:firstLine="0"/>
      </w:pPr>
      <w:rPr>
        <w:rFonts w:hint="default" w:ascii="Times New Roman" w:hAnsi="Times New Roman" w:eastAsia="黑体"/>
        <w:b w:val="0"/>
        <w:i w:val="0"/>
        <w:sz w:val="21"/>
      </w:rPr>
    </w:lvl>
    <w:lvl w:ilvl="3" w:tentative="0">
      <w:start w:val="1"/>
      <w:numFmt w:val="decimal"/>
      <w:suff w:val="nothing"/>
      <w:lvlText w:val="%1%2.%3.%4　"/>
      <w:lvlJc w:val="left"/>
      <w:pPr>
        <w:ind w:left="5387" w:firstLine="0"/>
      </w:pPr>
      <w:rPr>
        <w:rFonts w:hint="default" w:ascii="Times New Roman" w:hAnsi="Times New Roman" w:eastAsia="黑体"/>
        <w:b w:val="0"/>
        <w:i w:val="0"/>
        <w:sz w:val="21"/>
      </w:rPr>
    </w:lvl>
    <w:lvl w:ilvl="4" w:tentative="0">
      <w:start w:val="1"/>
      <w:numFmt w:val="decimal"/>
      <w:suff w:val="nothing"/>
      <w:lvlText w:val="%1%2.%3.%4.%5　"/>
      <w:lvlJc w:val="left"/>
      <w:pPr>
        <w:ind w:left="5387" w:firstLine="0"/>
      </w:pPr>
      <w:rPr>
        <w:rFonts w:hint="default" w:ascii="Times New Roman" w:hAnsi="Times New Roman" w:eastAsia="黑体"/>
        <w:b w:val="0"/>
        <w:i w:val="0"/>
        <w:sz w:val="21"/>
      </w:rPr>
    </w:lvl>
    <w:lvl w:ilvl="5" w:tentative="0">
      <w:start w:val="1"/>
      <w:numFmt w:val="decimal"/>
      <w:suff w:val="nothing"/>
      <w:lvlText w:val="%1%2.%3.%4.%5.%6　"/>
      <w:lvlJc w:val="left"/>
      <w:pPr>
        <w:ind w:left="5387" w:firstLine="0"/>
      </w:pPr>
      <w:rPr>
        <w:rFonts w:hint="default" w:ascii="Times New Roman" w:hAnsi="Times New Roman" w:eastAsia="黑体"/>
        <w:b w:val="0"/>
        <w:i w:val="0"/>
        <w:sz w:val="21"/>
      </w:rPr>
    </w:lvl>
    <w:lvl w:ilvl="6" w:tentative="0">
      <w:start w:val="1"/>
      <w:numFmt w:val="decimal"/>
      <w:suff w:val="nothing"/>
      <w:lvlText w:val="%1%2.%3.%4.%5.%6.%7　"/>
      <w:lvlJc w:val="left"/>
      <w:pPr>
        <w:ind w:left="5387" w:firstLine="0"/>
      </w:pPr>
      <w:rPr>
        <w:rFonts w:hint="default" w:ascii="Times New Roman" w:hAnsi="Times New Roman" w:eastAsia="黑体"/>
        <w:b w:val="0"/>
        <w:i w:val="0"/>
        <w:sz w:val="21"/>
      </w:rPr>
    </w:lvl>
    <w:lvl w:ilvl="7" w:tentative="0">
      <w:start w:val="1"/>
      <w:numFmt w:val="decimal"/>
      <w:lvlText w:val="%1.%2.%3.%4.%5.%6.%7.%8"/>
      <w:lvlJc w:val="left"/>
      <w:pPr>
        <w:tabs>
          <w:tab w:val="left" w:pos="9738"/>
        </w:tabs>
        <w:ind w:left="9356" w:hanging="1418"/>
      </w:pPr>
      <w:rPr>
        <w:rFonts w:hint="eastAsia"/>
      </w:rPr>
    </w:lvl>
    <w:lvl w:ilvl="8" w:tentative="0">
      <w:start w:val="1"/>
      <w:numFmt w:val="decimal"/>
      <w:lvlText w:val="%1.%2.%3.%4.%5.%6.%7.%8.%9"/>
      <w:lvlJc w:val="left"/>
      <w:pPr>
        <w:tabs>
          <w:tab w:val="left" w:pos="10164"/>
        </w:tabs>
        <w:ind w:left="10064"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92"/>
    <w:rsid w:val="00005D57"/>
    <w:rsid w:val="00015AB7"/>
    <w:rsid w:val="0001749E"/>
    <w:rsid w:val="000244B6"/>
    <w:rsid w:val="0002707A"/>
    <w:rsid w:val="00035AF0"/>
    <w:rsid w:val="00042805"/>
    <w:rsid w:val="00057023"/>
    <w:rsid w:val="00062F9F"/>
    <w:rsid w:val="000636BB"/>
    <w:rsid w:val="000A474F"/>
    <w:rsid w:val="000A4845"/>
    <w:rsid w:val="000B14C2"/>
    <w:rsid w:val="000D1B47"/>
    <w:rsid w:val="000E1AB3"/>
    <w:rsid w:val="000E48BE"/>
    <w:rsid w:val="000E5369"/>
    <w:rsid w:val="00100276"/>
    <w:rsid w:val="00100365"/>
    <w:rsid w:val="0010283E"/>
    <w:rsid w:val="00103AD8"/>
    <w:rsid w:val="00152BCA"/>
    <w:rsid w:val="001718CB"/>
    <w:rsid w:val="001B226A"/>
    <w:rsid w:val="001B63B0"/>
    <w:rsid w:val="001E2A4C"/>
    <w:rsid w:val="001E34DE"/>
    <w:rsid w:val="001F165B"/>
    <w:rsid w:val="001F1B61"/>
    <w:rsid w:val="00237779"/>
    <w:rsid w:val="002517B3"/>
    <w:rsid w:val="00256350"/>
    <w:rsid w:val="00260B7B"/>
    <w:rsid w:val="00263BAB"/>
    <w:rsid w:val="002741DF"/>
    <w:rsid w:val="002760BB"/>
    <w:rsid w:val="00280180"/>
    <w:rsid w:val="00280A2A"/>
    <w:rsid w:val="00285638"/>
    <w:rsid w:val="002A3CDD"/>
    <w:rsid w:val="002A5BAC"/>
    <w:rsid w:val="002B36B5"/>
    <w:rsid w:val="002C0246"/>
    <w:rsid w:val="002C214C"/>
    <w:rsid w:val="002D281F"/>
    <w:rsid w:val="002E5621"/>
    <w:rsid w:val="002F09CB"/>
    <w:rsid w:val="00302798"/>
    <w:rsid w:val="00302CCB"/>
    <w:rsid w:val="00305E6E"/>
    <w:rsid w:val="003123DF"/>
    <w:rsid w:val="003128DE"/>
    <w:rsid w:val="00320723"/>
    <w:rsid w:val="00335CFC"/>
    <w:rsid w:val="00342210"/>
    <w:rsid w:val="00362853"/>
    <w:rsid w:val="003C4C2D"/>
    <w:rsid w:val="003D7761"/>
    <w:rsid w:val="003E1479"/>
    <w:rsid w:val="003E2C42"/>
    <w:rsid w:val="00410C2A"/>
    <w:rsid w:val="00416571"/>
    <w:rsid w:val="00431CB1"/>
    <w:rsid w:val="00446A73"/>
    <w:rsid w:val="00450585"/>
    <w:rsid w:val="00471CFE"/>
    <w:rsid w:val="004845C3"/>
    <w:rsid w:val="00485E08"/>
    <w:rsid w:val="004B5B04"/>
    <w:rsid w:val="004C1F28"/>
    <w:rsid w:val="004D04F1"/>
    <w:rsid w:val="004D1DF8"/>
    <w:rsid w:val="004D4C55"/>
    <w:rsid w:val="004E24C6"/>
    <w:rsid w:val="004F4DE3"/>
    <w:rsid w:val="00502382"/>
    <w:rsid w:val="00525FDA"/>
    <w:rsid w:val="005463C3"/>
    <w:rsid w:val="00551D90"/>
    <w:rsid w:val="00566A6C"/>
    <w:rsid w:val="005A5438"/>
    <w:rsid w:val="005B361A"/>
    <w:rsid w:val="005B477C"/>
    <w:rsid w:val="005B58A6"/>
    <w:rsid w:val="005C57E4"/>
    <w:rsid w:val="005C646D"/>
    <w:rsid w:val="005D11EB"/>
    <w:rsid w:val="0061520F"/>
    <w:rsid w:val="00621D56"/>
    <w:rsid w:val="0062439D"/>
    <w:rsid w:val="006410C8"/>
    <w:rsid w:val="00654D1C"/>
    <w:rsid w:val="00657AEC"/>
    <w:rsid w:val="00667539"/>
    <w:rsid w:val="006B142E"/>
    <w:rsid w:val="006B2C0F"/>
    <w:rsid w:val="006B2F0F"/>
    <w:rsid w:val="006C2177"/>
    <w:rsid w:val="006C5B53"/>
    <w:rsid w:val="006F637B"/>
    <w:rsid w:val="006F730A"/>
    <w:rsid w:val="00700334"/>
    <w:rsid w:val="007265DD"/>
    <w:rsid w:val="00732CF7"/>
    <w:rsid w:val="00742513"/>
    <w:rsid w:val="00743AE3"/>
    <w:rsid w:val="00751130"/>
    <w:rsid w:val="00755EB7"/>
    <w:rsid w:val="007572B5"/>
    <w:rsid w:val="00762F63"/>
    <w:rsid w:val="007746C1"/>
    <w:rsid w:val="007751B4"/>
    <w:rsid w:val="00780170"/>
    <w:rsid w:val="00780881"/>
    <w:rsid w:val="00783C4F"/>
    <w:rsid w:val="007864CE"/>
    <w:rsid w:val="007A43F8"/>
    <w:rsid w:val="007A73D3"/>
    <w:rsid w:val="007B1ACA"/>
    <w:rsid w:val="007C6892"/>
    <w:rsid w:val="007D37AF"/>
    <w:rsid w:val="007E3315"/>
    <w:rsid w:val="007F1710"/>
    <w:rsid w:val="00802530"/>
    <w:rsid w:val="0081011E"/>
    <w:rsid w:val="008334CC"/>
    <w:rsid w:val="008351C9"/>
    <w:rsid w:val="0083725D"/>
    <w:rsid w:val="00852BC3"/>
    <w:rsid w:val="00860916"/>
    <w:rsid w:val="00863CB9"/>
    <w:rsid w:val="008678CC"/>
    <w:rsid w:val="00871A17"/>
    <w:rsid w:val="00883C60"/>
    <w:rsid w:val="0089211D"/>
    <w:rsid w:val="008E49ED"/>
    <w:rsid w:val="008E5D08"/>
    <w:rsid w:val="008F1662"/>
    <w:rsid w:val="008F6D9B"/>
    <w:rsid w:val="00904E37"/>
    <w:rsid w:val="00907889"/>
    <w:rsid w:val="009120D3"/>
    <w:rsid w:val="00917B25"/>
    <w:rsid w:val="00921743"/>
    <w:rsid w:val="00921DF1"/>
    <w:rsid w:val="00926E04"/>
    <w:rsid w:val="00931FE9"/>
    <w:rsid w:val="00935BB4"/>
    <w:rsid w:val="00947338"/>
    <w:rsid w:val="00947C5C"/>
    <w:rsid w:val="00954940"/>
    <w:rsid w:val="00977F19"/>
    <w:rsid w:val="0098076A"/>
    <w:rsid w:val="0099190E"/>
    <w:rsid w:val="009E50C5"/>
    <w:rsid w:val="009F5E1D"/>
    <w:rsid w:val="00A03936"/>
    <w:rsid w:val="00A069F4"/>
    <w:rsid w:val="00A0727D"/>
    <w:rsid w:val="00A10520"/>
    <w:rsid w:val="00A17C0F"/>
    <w:rsid w:val="00A204A6"/>
    <w:rsid w:val="00A34968"/>
    <w:rsid w:val="00A53476"/>
    <w:rsid w:val="00A554BC"/>
    <w:rsid w:val="00A67FFD"/>
    <w:rsid w:val="00A74150"/>
    <w:rsid w:val="00A833C5"/>
    <w:rsid w:val="00A87888"/>
    <w:rsid w:val="00AB3AF4"/>
    <w:rsid w:val="00AB77A5"/>
    <w:rsid w:val="00AC3AE7"/>
    <w:rsid w:val="00AD3DB5"/>
    <w:rsid w:val="00AD5EB6"/>
    <w:rsid w:val="00AD6228"/>
    <w:rsid w:val="00B0732F"/>
    <w:rsid w:val="00B113AB"/>
    <w:rsid w:val="00B142AC"/>
    <w:rsid w:val="00B2100A"/>
    <w:rsid w:val="00B2578B"/>
    <w:rsid w:val="00B3657B"/>
    <w:rsid w:val="00B47F55"/>
    <w:rsid w:val="00B556E0"/>
    <w:rsid w:val="00B63575"/>
    <w:rsid w:val="00B66D16"/>
    <w:rsid w:val="00B734DB"/>
    <w:rsid w:val="00B9690B"/>
    <w:rsid w:val="00BA37AF"/>
    <w:rsid w:val="00BB5572"/>
    <w:rsid w:val="00BB5F33"/>
    <w:rsid w:val="00BD6F1B"/>
    <w:rsid w:val="00BE7618"/>
    <w:rsid w:val="00BF140D"/>
    <w:rsid w:val="00C03A2C"/>
    <w:rsid w:val="00C47218"/>
    <w:rsid w:val="00C538FE"/>
    <w:rsid w:val="00C55735"/>
    <w:rsid w:val="00C66A7F"/>
    <w:rsid w:val="00C711DB"/>
    <w:rsid w:val="00C8587E"/>
    <w:rsid w:val="00C9145C"/>
    <w:rsid w:val="00C963D0"/>
    <w:rsid w:val="00CA012C"/>
    <w:rsid w:val="00CA5CE1"/>
    <w:rsid w:val="00CB2021"/>
    <w:rsid w:val="00CB5056"/>
    <w:rsid w:val="00CC0429"/>
    <w:rsid w:val="00CF7185"/>
    <w:rsid w:val="00D05F43"/>
    <w:rsid w:val="00D335FC"/>
    <w:rsid w:val="00D35BA2"/>
    <w:rsid w:val="00D4579C"/>
    <w:rsid w:val="00D50DBF"/>
    <w:rsid w:val="00D54518"/>
    <w:rsid w:val="00D62769"/>
    <w:rsid w:val="00D7003E"/>
    <w:rsid w:val="00D84267"/>
    <w:rsid w:val="00D914A4"/>
    <w:rsid w:val="00D97B6C"/>
    <w:rsid w:val="00DC54CF"/>
    <w:rsid w:val="00DD5771"/>
    <w:rsid w:val="00DD73AE"/>
    <w:rsid w:val="00E000EC"/>
    <w:rsid w:val="00E01E54"/>
    <w:rsid w:val="00E12191"/>
    <w:rsid w:val="00E142C2"/>
    <w:rsid w:val="00E36186"/>
    <w:rsid w:val="00E444CC"/>
    <w:rsid w:val="00E534D1"/>
    <w:rsid w:val="00E776D1"/>
    <w:rsid w:val="00EB129C"/>
    <w:rsid w:val="00EB3782"/>
    <w:rsid w:val="00EC146C"/>
    <w:rsid w:val="00ED2EE0"/>
    <w:rsid w:val="00EE5CDE"/>
    <w:rsid w:val="00EE77ED"/>
    <w:rsid w:val="00EF3F83"/>
    <w:rsid w:val="00EF55B9"/>
    <w:rsid w:val="00EF5C13"/>
    <w:rsid w:val="00F27E85"/>
    <w:rsid w:val="00F44DFA"/>
    <w:rsid w:val="00F47421"/>
    <w:rsid w:val="00F750EB"/>
    <w:rsid w:val="00F82053"/>
    <w:rsid w:val="00F87434"/>
    <w:rsid w:val="00FB7CB2"/>
    <w:rsid w:val="00FC014D"/>
    <w:rsid w:val="00FC2FCD"/>
    <w:rsid w:val="00FC37C6"/>
    <w:rsid w:val="00FD0831"/>
    <w:rsid w:val="00FE45EF"/>
    <w:rsid w:val="00FE71AB"/>
    <w:rsid w:val="00FF002E"/>
    <w:rsid w:val="0A2169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Body Text"/>
    <w:basedOn w:val="1"/>
    <w:link w:val="12"/>
    <w:qFormat/>
    <w:uiPriority w:val="1"/>
    <w:pPr>
      <w:ind w:left="111"/>
      <w:jc w:val="left"/>
    </w:pPr>
    <w:rPr>
      <w:rFonts w:ascii="仿宋" w:hAnsi="仿宋" w:eastAsia="仿宋"/>
      <w:kern w:val="0"/>
      <w:sz w:val="32"/>
      <w:szCs w:val="32"/>
      <w:lang w:eastAsia="en-US"/>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semiHidden/>
    <w:unhideWhenUsed/>
    <w:uiPriority w:val="99"/>
    <w:rPr>
      <w:b/>
      <w:bCs/>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uiPriority w:val="99"/>
    <w:rPr>
      <w:sz w:val="21"/>
      <w:szCs w:val="21"/>
    </w:rPr>
  </w:style>
  <w:style w:type="character" w:customStyle="1" w:styleId="12">
    <w:name w:val="正文文本 字符"/>
    <w:basedOn w:val="10"/>
    <w:link w:val="3"/>
    <w:uiPriority w:val="1"/>
    <w:rPr>
      <w:rFonts w:ascii="仿宋" w:hAnsi="仿宋" w:eastAsia="仿宋"/>
      <w:kern w:val="0"/>
      <w:sz w:val="32"/>
      <w:szCs w:val="32"/>
      <w:lang w:eastAsia="en-US"/>
    </w:rPr>
  </w:style>
  <w:style w:type="paragraph" w:customStyle="1" w:styleId="13">
    <w:name w:val="标题 11"/>
    <w:basedOn w:val="1"/>
    <w:qFormat/>
    <w:uiPriority w:val="1"/>
    <w:pPr>
      <w:jc w:val="left"/>
      <w:outlineLvl w:val="1"/>
    </w:pPr>
    <w:rPr>
      <w:rFonts w:ascii="PMingLiU" w:hAnsi="PMingLiU" w:eastAsia="PMingLiU"/>
      <w:kern w:val="0"/>
      <w:sz w:val="44"/>
      <w:szCs w:val="44"/>
      <w:lang w:eastAsia="en-US"/>
    </w:rPr>
  </w:style>
  <w:style w:type="character" w:customStyle="1" w:styleId="14">
    <w:name w:val="页眉 字符"/>
    <w:basedOn w:val="10"/>
    <w:link w:val="6"/>
    <w:uiPriority w:val="99"/>
    <w:rPr>
      <w:sz w:val="18"/>
      <w:szCs w:val="18"/>
    </w:rPr>
  </w:style>
  <w:style w:type="character" w:customStyle="1" w:styleId="15">
    <w:name w:val="页脚 字符"/>
    <w:basedOn w:val="10"/>
    <w:link w:val="5"/>
    <w:uiPriority w:val="99"/>
    <w:rPr>
      <w:sz w:val="18"/>
      <w:szCs w:val="18"/>
    </w:rPr>
  </w:style>
  <w:style w:type="character" w:customStyle="1" w:styleId="16">
    <w:name w:val="批注框文本 字符"/>
    <w:basedOn w:val="10"/>
    <w:link w:val="4"/>
    <w:semiHidden/>
    <w:uiPriority w:val="99"/>
    <w:rPr>
      <w:sz w:val="18"/>
      <w:szCs w:val="18"/>
    </w:rPr>
  </w:style>
  <w:style w:type="character" w:customStyle="1" w:styleId="17">
    <w:name w:val="批注文字 字符"/>
    <w:basedOn w:val="10"/>
    <w:link w:val="2"/>
    <w:semiHidden/>
    <w:uiPriority w:val="99"/>
  </w:style>
  <w:style w:type="character" w:customStyle="1" w:styleId="18">
    <w:name w:val="批注主题 字符"/>
    <w:basedOn w:val="17"/>
    <w:link w:val="7"/>
    <w:semiHidden/>
    <w:uiPriority w:val="99"/>
    <w:rPr>
      <w:b/>
      <w:bCs/>
    </w:rPr>
  </w:style>
  <w:style w:type="paragraph" w:styleId="19">
    <w:name w:val="List Paragraph"/>
    <w:basedOn w:val="1"/>
    <w:qFormat/>
    <w:uiPriority w:val="34"/>
    <w:pPr>
      <w:ind w:firstLine="420" w:firstLineChars="200"/>
    </w:pPr>
  </w:style>
  <w:style w:type="paragraph" w:customStyle="1" w:styleId="20">
    <w:name w:val="段"/>
    <w:link w:val="2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21">
    <w:name w:val="段 Char"/>
    <w:link w:val="20"/>
    <w:qFormat/>
    <w:uiPriority w:val="0"/>
    <w:rPr>
      <w:rFonts w:ascii="宋体" w:hAnsi="Times New Roman" w:eastAsia="宋体" w:cs="Times New Roman"/>
      <w:kern w:val="0"/>
      <w:szCs w:val="20"/>
    </w:rPr>
  </w:style>
  <w:style w:type="paragraph" w:customStyle="1" w:styleId="22">
    <w:name w:val="正文图标题"/>
    <w:next w:val="20"/>
    <w:uiPriority w:val="0"/>
    <w:pPr>
      <w:numPr>
        <w:ilvl w:val="0"/>
        <w:numId w:val="1"/>
      </w:numPr>
      <w:spacing w:before="156" w:beforeLines="50" w:after="156" w:afterLines="50"/>
      <w:jc w:val="center"/>
    </w:pPr>
    <w:rPr>
      <w:rFonts w:ascii="黑体" w:hAnsi="Times New Roman" w:eastAsia="黑体" w:cs="Times New Roman"/>
      <w:kern w:val="0"/>
      <w:sz w:val="21"/>
      <w:szCs w:val="20"/>
      <w:lang w:val="en-US" w:eastAsia="zh-CN" w:bidi="ar-SA"/>
    </w:rPr>
  </w:style>
  <w:style w:type="paragraph" w:customStyle="1" w:styleId="23">
    <w:name w:val="字母编号列项（一级）"/>
    <w:uiPriority w:val="0"/>
    <w:pPr>
      <w:jc w:val="both"/>
    </w:pPr>
    <w:rPr>
      <w:rFonts w:ascii="宋体" w:hAnsi="Times New Roman"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B0A5F7-6699-4A84-8554-EAC0981815B4}">
  <ds:schemaRefs/>
</ds:datastoreItem>
</file>

<file path=docProps/app.xml><?xml version="1.0" encoding="utf-8"?>
<Properties xmlns="http://schemas.openxmlformats.org/officeDocument/2006/extended-properties" xmlns:vt="http://schemas.openxmlformats.org/officeDocument/2006/docPropsVTypes">
  <Template>Normal</Template>
  <Pages>9</Pages>
  <Words>862</Words>
  <Characters>4916</Characters>
  <Lines>40</Lines>
  <Paragraphs>11</Paragraphs>
  <TotalTime>1</TotalTime>
  <ScaleCrop>false</ScaleCrop>
  <LinksUpToDate>false</LinksUpToDate>
  <CharactersWithSpaces>5767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2021-05-08T09:55:00Z</dcterms:created>
  <dc:creator>蔡军</dc:creator>
  <cp:lastModifiedBy>洪忠</cp:lastModifiedBy>
  <dcterms:modified xsi:type="dcterms:W3CDTF">2021-05-11T01:12:12Z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CE9F28A94C7C484C9B725C930C62C635</vt:lpwstr>
  </property>
</Properties>
</file>